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4A827" w14:textId="77777777" w:rsidR="000232F4" w:rsidRPr="00C3578B" w:rsidRDefault="000232F4" w:rsidP="000232F4">
      <w:pPr>
        <w:spacing w:after="0" w:line="240" w:lineRule="auto"/>
        <w:jc w:val="center"/>
        <w:rPr>
          <w:rFonts w:ascii="Palatino Linotype" w:hAnsi="Palatino Linotype" w:cstheme="majorBidi"/>
          <w:b/>
          <w:bCs/>
          <w:sz w:val="24"/>
          <w:szCs w:val="24"/>
        </w:rPr>
      </w:pPr>
      <w:bookmarkStart w:id="0" w:name="_GoBack"/>
      <w:bookmarkEnd w:id="0"/>
      <w:r w:rsidRPr="00C3578B">
        <w:rPr>
          <w:rFonts w:ascii="Palatino Linotype" w:hAnsi="Palatino Linotype" w:cstheme="majorBidi"/>
          <w:b/>
          <w:bCs/>
          <w:sz w:val="24"/>
          <w:szCs w:val="24"/>
        </w:rPr>
        <w:t>KETIK JUDUL ARTIKEL ANDA</w:t>
      </w:r>
    </w:p>
    <w:p w14:paraId="60D3CB9D" w14:textId="77777777" w:rsidR="000232F4" w:rsidRPr="00C3578B" w:rsidRDefault="000232F4" w:rsidP="000232F4">
      <w:pPr>
        <w:spacing w:after="0" w:line="240" w:lineRule="auto"/>
        <w:jc w:val="center"/>
        <w:rPr>
          <w:rFonts w:ascii="Palatino Linotype" w:hAnsi="Palatino Linotype" w:cstheme="majorBidi"/>
          <w:b/>
          <w:bCs/>
          <w:sz w:val="24"/>
          <w:szCs w:val="24"/>
        </w:rPr>
      </w:pPr>
    </w:p>
    <w:p w14:paraId="38373228" w14:textId="77777777" w:rsidR="000232F4" w:rsidRPr="00C3578B" w:rsidRDefault="000232F4" w:rsidP="000232F4">
      <w:pPr>
        <w:spacing w:after="0" w:line="240" w:lineRule="auto"/>
        <w:jc w:val="center"/>
        <w:rPr>
          <w:rFonts w:ascii="Palatino Linotype" w:hAnsi="Palatino Linotype" w:cstheme="majorBidi"/>
          <w:b/>
          <w:bCs/>
          <w:sz w:val="24"/>
          <w:szCs w:val="24"/>
        </w:rPr>
      </w:pPr>
      <w:r w:rsidRPr="00C3578B">
        <w:rPr>
          <w:rFonts w:ascii="Palatino Linotype" w:hAnsi="Palatino Linotype" w:cstheme="majorBidi"/>
          <w:b/>
          <w:bCs/>
          <w:sz w:val="24"/>
          <w:szCs w:val="24"/>
        </w:rPr>
        <w:t>Penulis Pertama, Penulis Kedua, Penulis Ketiga, dst.</w:t>
      </w:r>
    </w:p>
    <w:p w14:paraId="388C067E" w14:textId="77777777" w:rsidR="000232F4" w:rsidRPr="00C3578B" w:rsidRDefault="000232F4" w:rsidP="000232F4">
      <w:pPr>
        <w:spacing w:after="0" w:line="240" w:lineRule="auto"/>
        <w:jc w:val="center"/>
        <w:rPr>
          <w:rFonts w:ascii="Palatino Linotype" w:hAnsi="Palatino Linotype" w:cstheme="majorBidi"/>
          <w:sz w:val="24"/>
          <w:szCs w:val="24"/>
        </w:rPr>
      </w:pP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Afliasi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Penulis Pertama (Institusi/ Universitas,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Aktifitas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Akademik,dll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>)</w:t>
      </w:r>
    </w:p>
    <w:p w14:paraId="6EE1E111" w14:textId="77777777" w:rsidR="000232F4" w:rsidRPr="00C3578B" w:rsidRDefault="000232F4" w:rsidP="000232F4">
      <w:pPr>
        <w:spacing w:after="0" w:line="240" w:lineRule="auto"/>
        <w:jc w:val="center"/>
        <w:rPr>
          <w:rFonts w:ascii="Palatino Linotype" w:hAnsi="Palatino Linotype" w:cstheme="majorBidi"/>
          <w:sz w:val="24"/>
          <w:szCs w:val="24"/>
        </w:rPr>
      </w:pP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Afliasi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Penulis Kedua (Institusi/ Universitas,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Aktifitas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Akademik,dll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>)</w:t>
      </w:r>
    </w:p>
    <w:p w14:paraId="6A844C73" w14:textId="77777777" w:rsidR="000232F4" w:rsidRPr="00C3578B" w:rsidRDefault="000232F4" w:rsidP="000232F4">
      <w:pPr>
        <w:spacing w:after="0" w:line="240" w:lineRule="auto"/>
        <w:jc w:val="center"/>
        <w:rPr>
          <w:rFonts w:ascii="Palatino Linotype" w:hAnsi="Palatino Linotype" w:cstheme="majorBidi"/>
          <w:sz w:val="24"/>
          <w:szCs w:val="24"/>
        </w:rPr>
      </w:pP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Afliasi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Penulis Ketiga (Institusi/ Universitas,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Aktifitas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Akademik,dll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>)</w:t>
      </w:r>
    </w:p>
    <w:p w14:paraId="7075BA9B" w14:textId="77777777" w:rsidR="000232F4" w:rsidRPr="00C3578B" w:rsidRDefault="000232F4" w:rsidP="000232F4">
      <w:pPr>
        <w:spacing w:after="0" w:line="240" w:lineRule="auto"/>
        <w:jc w:val="center"/>
        <w:rPr>
          <w:rFonts w:ascii="Palatino Linotype" w:hAnsi="Palatino Linotype" w:cstheme="majorBidi"/>
          <w:sz w:val="24"/>
          <w:szCs w:val="24"/>
        </w:rPr>
      </w:pPr>
    </w:p>
    <w:p w14:paraId="6F84BC8C" w14:textId="55F41407" w:rsidR="000232F4" w:rsidRPr="00C3578B" w:rsidRDefault="000232F4" w:rsidP="000232F4">
      <w:pPr>
        <w:spacing w:after="0" w:line="240" w:lineRule="auto"/>
        <w:jc w:val="center"/>
        <w:rPr>
          <w:rFonts w:ascii="Palatino Linotype" w:hAnsi="Palatino Linotype" w:cstheme="majorBidi"/>
          <w:sz w:val="24"/>
          <w:szCs w:val="24"/>
        </w:rPr>
      </w:pPr>
      <w:r w:rsidRPr="00C3578B">
        <w:rPr>
          <w:rFonts w:ascii="Palatino Linotype" w:hAnsi="Palatino Linotype" w:cstheme="majorBidi"/>
          <w:sz w:val="24"/>
          <w:szCs w:val="24"/>
        </w:rPr>
        <w:t>*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Korespodensi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>: Email penulis pertama</w:t>
      </w:r>
    </w:p>
    <w:p w14:paraId="204DE59D" w14:textId="5334DE27" w:rsidR="00611D0F" w:rsidRPr="00C3578B" w:rsidRDefault="00611D0F" w:rsidP="00611D0F">
      <w:pPr>
        <w:spacing w:after="0" w:line="240" w:lineRule="auto"/>
        <w:jc w:val="center"/>
        <w:rPr>
          <w:rFonts w:ascii="Palatino Linotype" w:hAnsi="Palatino Linotype" w:cstheme="majorBidi"/>
          <w:sz w:val="24"/>
          <w:szCs w:val="24"/>
          <w:lang w:val="en-ID"/>
        </w:rPr>
      </w:pPr>
      <w:r w:rsidRPr="00C3578B">
        <w:rPr>
          <w:rFonts w:ascii="Palatino Linotype" w:hAnsi="Palatino Linotype" w:cstheme="majorBidi"/>
          <w:sz w:val="24"/>
          <w:szCs w:val="24"/>
          <w:lang w:val="en-ID"/>
        </w:rPr>
        <w:t>*</w:t>
      </w:r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Korespodensi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: Email penulis </w:t>
      </w:r>
      <w:proofErr w:type="spellStart"/>
      <w:r w:rsidRPr="00C3578B">
        <w:rPr>
          <w:rFonts w:ascii="Palatino Linotype" w:hAnsi="Palatino Linotype" w:cstheme="majorBidi"/>
          <w:sz w:val="24"/>
          <w:szCs w:val="24"/>
          <w:lang w:val="en-ID"/>
        </w:rPr>
        <w:t>kedua</w:t>
      </w:r>
      <w:proofErr w:type="spellEnd"/>
    </w:p>
    <w:p w14:paraId="272B9798" w14:textId="2AFD0CD0" w:rsidR="00611D0F" w:rsidRPr="00C3578B" w:rsidRDefault="00611D0F" w:rsidP="00611D0F">
      <w:pPr>
        <w:spacing w:after="0" w:line="240" w:lineRule="auto"/>
        <w:jc w:val="center"/>
        <w:rPr>
          <w:rFonts w:ascii="Palatino Linotype" w:hAnsi="Palatino Linotype" w:cstheme="majorBidi"/>
          <w:sz w:val="24"/>
          <w:szCs w:val="24"/>
          <w:lang w:val="en-ID"/>
        </w:rPr>
      </w:pPr>
      <w:r w:rsidRPr="00C3578B">
        <w:rPr>
          <w:rFonts w:ascii="Palatino Linotype" w:hAnsi="Palatino Linotype" w:cstheme="majorBidi"/>
          <w:sz w:val="24"/>
          <w:szCs w:val="24"/>
          <w:lang w:val="en-ID"/>
        </w:rPr>
        <w:t>*</w:t>
      </w:r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Korespodensi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: Email penulis </w:t>
      </w:r>
      <w:proofErr w:type="spellStart"/>
      <w:r w:rsidRPr="00C3578B">
        <w:rPr>
          <w:rFonts w:ascii="Palatino Linotype" w:hAnsi="Palatino Linotype" w:cstheme="majorBidi"/>
          <w:sz w:val="24"/>
          <w:szCs w:val="24"/>
          <w:lang w:val="en-ID"/>
        </w:rPr>
        <w:t>ketiga</w:t>
      </w:r>
      <w:proofErr w:type="spellEnd"/>
    </w:p>
    <w:p w14:paraId="48E16273" w14:textId="20BDFD74" w:rsidR="00611D0F" w:rsidRPr="00C3578B" w:rsidRDefault="00611D0F" w:rsidP="00611D0F">
      <w:pPr>
        <w:spacing w:after="0" w:line="240" w:lineRule="auto"/>
        <w:jc w:val="center"/>
        <w:rPr>
          <w:rFonts w:ascii="Palatino Linotype" w:hAnsi="Palatino Linotype" w:cstheme="majorBidi"/>
          <w:sz w:val="24"/>
          <w:szCs w:val="24"/>
          <w:lang w:val="en-ID"/>
        </w:rPr>
      </w:pPr>
      <w:proofErr w:type="spellStart"/>
      <w:r w:rsidRPr="00C3578B">
        <w:rPr>
          <w:rFonts w:ascii="Palatino Linotype" w:hAnsi="Palatino Linotype" w:cstheme="majorBidi"/>
          <w:sz w:val="24"/>
          <w:szCs w:val="24"/>
          <w:lang w:val="en-ID"/>
        </w:rPr>
        <w:t>dst</w:t>
      </w:r>
      <w:proofErr w:type="spellEnd"/>
    </w:p>
    <w:p w14:paraId="0FB13DB7" w14:textId="135E63E9" w:rsidR="00611D0F" w:rsidRPr="00C3578B" w:rsidRDefault="00611D0F" w:rsidP="00611D0F">
      <w:pPr>
        <w:spacing w:after="0" w:line="240" w:lineRule="auto"/>
        <w:jc w:val="center"/>
        <w:rPr>
          <w:rFonts w:ascii="Palatino Linotype" w:hAnsi="Palatino Linotype" w:cstheme="majorBidi"/>
          <w:sz w:val="24"/>
          <w:szCs w:val="24"/>
        </w:rPr>
      </w:pPr>
    </w:p>
    <w:p w14:paraId="52424AF5" w14:textId="77777777" w:rsidR="000232F4" w:rsidRPr="00C3578B" w:rsidRDefault="000232F4" w:rsidP="000232F4">
      <w:pPr>
        <w:spacing w:after="0" w:line="240" w:lineRule="auto"/>
        <w:rPr>
          <w:rFonts w:ascii="Palatino Linotype" w:hAnsi="Palatino Linotype" w:cstheme="majorBidi"/>
          <w:sz w:val="24"/>
          <w:szCs w:val="24"/>
        </w:rPr>
      </w:pPr>
    </w:p>
    <w:p w14:paraId="4145A1C2" w14:textId="77777777" w:rsidR="00C3578B" w:rsidRPr="00C3578B" w:rsidRDefault="00C3578B" w:rsidP="00C3578B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</w:rPr>
      </w:pPr>
      <w:r w:rsidRPr="00C3578B">
        <w:rPr>
          <w:rFonts w:ascii="Palatino Linotype" w:hAnsi="Palatino Linotype" w:cstheme="majorBidi"/>
          <w:b/>
          <w:bCs/>
          <w:sz w:val="24"/>
          <w:szCs w:val="24"/>
        </w:rPr>
        <w:t>ABSTRAK</w:t>
      </w:r>
    </w:p>
    <w:p w14:paraId="275B6D10" w14:textId="272C91DF" w:rsidR="00C3578B" w:rsidRDefault="00C3578B" w:rsidP="002C1B14">
      <w:pPr>
        <w:spacing w:after="0" w:line="240" w:lineRule="auto"/>
        <w:jc w:val="both"/>
        <w:rPr>
          <w:rFonts w:ascii="Palatino Linotype" w:hAnsi="Palatino Linotype" w:cstheme="majorBidi"/>
          <w:sz w:val="24"/>
          <w:szCs w:val="24"/>
          <w:lang w:val="en-US"/>
        </w:rPr>
      </w:pPr>
      <w:r w:rsidRPr="00C3578B">
        <w:rPr>
          <w:rFonts w:ascii="Palatino Linotype" w:hAnsi="Palatino Linotype" w:cstheme="majorBidi"/>
          <w:sz w:val="24"/>
          <w:szCs w:val="24"/>
        </w:rPr>
        <w:t xml:space="preserve">Ketik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abstra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bahasa Indonesia di sini. Isi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abstract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atau abstrak menggunakan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font</w:t>
      </w:r>
      <w:proofErr w:type="spellEnd"/>
      <w:r w:rsidR="002C1B14">
        <w:rPr>
          <w:rFonts w:ascii="Palatino Linotype" w:hAnsi="Palatino Linotype" w:cstheme="majorBidi"/>
          <w:sz w:val="24"/>
          <w:szCs w:val="24"/>
          <w:lang w:val="en-US"/>
        </w:rPr>
        <w:t>s</w:t>
      </w:r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r w:rsidR="002C1B14" w:rsidRPr="00C3578B">
        <w:rPr>
          <w:rFonts w:ascii="Palatino Linotype" w:hAnsi="Palatino Linotype" w:cstheme="majorBidi"/>
          <w:sz w:val="24"/>
          <w:szCs w:val="24"/>
          <w:lang w:val="en-US"/>
        </w:rPr>
        <w:t xml:space="preserve">Palatino Linotype </w:t>
      </w:r>
      <w:proofErr w:type="spellStart"/>
      <w:r w:rsidR="002C1B14" w:rsidRPr="00C3578B">
        <w:rPr>
          <w:rFonts w:ascii="Palatino Linotype" w:hAnsi="Palatino Linotype" w:cstheme="majorBidi"/>
          <w:sz w:val="24"/>
          <w:szCs w:val="24"/>
          <w:lang w:val="en-US"/>
        </w:rPr>
        <w:t>ukuran</w:t>
      </w:r>
      <w:proofErr w:type="spellEnd"/>
      <w:r w:rsidR="002C1B14" w:rsidRPr="00C3578B">
        <w:rPr>
          <w:rFonts w:ascii="Palatino Linotype" w:hAnsi="Palatino Linotype" w:cstheme="majorBidi"/>
          <w:sz w:val="24"/>
          <w:szCs w:val="24"/>
        </w:rPr>
        <w:t xml:space="preserve"> 1</w:t>
      </w:r>
      <w:r w:rsidR="002C1B14">
        <w:rPr>
          <w:rFonts w:ascii="Palatino Linotype" w:hAnsi="Palatino Linotype" w:cstheme="majorBidi"/>
          <w:sz w:val="24"/>
          <w:szCs w:val="24"/>
          <w:lang w:val="en-US"/>
        </w:rPr>
        <w:t>1</w:t>
      </w:r>
      <w:r w:rsidRPr="00C3578B">
        <w:rPr>
          <w:rFonts w:ascii="Palatino Linotype" w:hAnsi="Palatino Linotype" w:cstheme="majorBidi"/>
          <w:sz w:val="24"/>
          <w:szCs w:val="24"/>
        </w:rPr>
        <w:t xml:space="preserve">. Abstrak terdiri atas: pokok permasalahan,, tujuan, metode, hasil, dan kesimpulan. Abstrak ditulis dalam bentuk satu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pargraf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>, tanpa acuan (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refrensi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)), tanpa singkatan/akronim, dan tanpa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foot</w:t>
      </w:r>
      <w:proofErr w:type="spellEnd"/>
      <w:r w:rsidR="00167804">
        <w:rPr>
          <w:rFonts w:ascii="Palatino Linotype" w:hAnsi="Palatino Linotype" w:cstheme="majorBidi"/>
          <w:sz w:val="24"/>
          <w:szCs w:val="24"/>
          <w:lang w:val="en-US"/>
        </w:rPr>
        <w:t xml:space="preserve">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note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. Abstrak bukan merupakan hasil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copy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paste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dari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kalima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yang ada dalam isi naskah. Isi abstrak bahasa Indonesia maksimal 150-200 kata.</w:t>
      </w:r>
    </w:p>
    <w:p w14:paraId="7973D3A1" w14:textId="77777777" w:rsidR="00C3578B" w:rsidRDefault="00C3578B" w:rsidP="00C3578B">
      <w:pPr>
        <w:spacing w:after="0" w:line="240" w:lineRule="auto"/>
        <w:jc w:val="both"/>
        <w:rPr>
          <w:rFonts w:ascii="Palatino Linotype" w:hAnsi="Palatino Linotype" w:cstheme="majorBidi"/>
          <w:sz w:val="24"/>
          <w:szCs w:val="24"/>
          <w:lang w:val="en-US"/>
        </w:rPr>
      </w:pPr>
    </w:p>
    <w:p w14:paraId="6B8AB901" w14:textId="77777777" w:rsidR="00C3578B" w:rsidRPr="00C3578B" w:rsidRDefault="00C3578B" w:rsidP="00C3578B">
      <w:pPr>
        <w:spacing w:after="0" w:line="240" w:lineRule="auto"/>
        <w:jc w:val="both"/>
        <w:rPr>
          <w:rFonts w:ascii="Palatino Linotype" w:hAnsi="Palatino Linotype" w:cstheme="majorBidi"/>
          <w:sz w:val="24"/>
          <w:szCs w:val="24"/>
          <w:lang w:val="en-US"/>
        </w:rPr>
      </w:pPr>
    </w:p>
    <w:p w14:paraId="54427BD5" w14:textId="0209D43C" w:rsidR="000232F4" w:rsidRPr="00C3578B" w:rsidRDefault="000232F4" w:rsidP="00C3578B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</w:rPr>
      </w:pPr>
      <w:r w:rsidRPr="00C3578B">
        <w:rPr>
          <w:rFonts w:ascii="Palatino Linotype" w:hAnsi="Palatino Linotype" w:cstheme="majorBidi"/>
          <w:b/>
          <w:bCs/>
          <w:sz w:val="24"/>
          <w:szCs w:val="24"/>
        </w:rPr>
        <w:t>ABSTRA</w:t>
      </w:r>
      <w:r w:rsidR="00C3578B">
        <w:rPr>
          <w:rFonts w:ascii="Palatino Linotype" w:hAnsi="Palatino Linotype" w:cstheme="majorBidi"/>
          <w:b/>
          <w:bCs/>
          <w:sz w:val="24"/>
          <w:szCs w:val="24"/>
          <w:lang w:val="en-US"/>
        </w:rPr>
        <w:t>CT</w:t>
      </w:r>
    </w:p>
    <w:p w14:paraId="15958AA0" w14:textId="02FC6147" w:rsidR="000232F4" w:rsidRPr="00C3578B" w:rsidRDefault="000232F4" w:rsidP="00C3578B">
      <w:pPr>
        <w:spacing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  <w:r w:rsidRPr="00C3578B">
        <w:rPr>
          <w:rFonts w:ascii="Palatino Linotype" w:hAnsi="Palatino Linotype" w:cstheme="majorBidi"/>
          <w:sz w:val="24"/>
          <w:szCs w:val="24"/>
        </w:rPr>
        <w:t xml:space="preserve">Ketik abstrak bahasa Inggris di sini. Isi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abstract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atau abstrak menggunakan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font</w:t>
      </w:r>
      <w:proofErr w:type="spellEnd"/>
      <w:r w:rsidR="002C1B14">
        <w:rPr>
          <w:rFonts w:ascii="Palatino Linotype" w:hAnsi="Palatino Linotype" w:cstheme="majorBidi"/>
          <w:sz w:val="24"/>
          <w:szCs w:val="24"/>
          <w:lang w:val="en-US"/>
        </w:rPr>
        <w:t>s</w:t>
      </w:r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 xml:space="preserve">Palatino Linotype </w:t>
      </w:r>
      <w:proofErr w:type="spellStart"/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>ukuran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1</w:t>
      </w:r>
      <w:r w:rsidR="00762B28" w:rsidRPr="00C3578B">
        <w:rPr>
          <w:rFonts w:ascii="Palatino Linotype" w:hAnsi="Palatino Linotype" w:cstheme="majorBidi"/>
          <w:sz w:val="24"/>
          <w:szCs w:val="24"/>
          <w:lang w:val="en-US"/>
        </w:rPr>
        <w:t>1</w:t>
      </w:r>
      <w:r w:rsidRPr="00C3578B">
        <w:rPr>
          <w:rFonts w:ascii="Palatino Linotype" w:hAnsi="Palatino Linotype" w:cstheme="majorBidi"/>
          <w:sz w:val="24"/>
          <w:szCs w:val="24"/>
        </w:rPr>
        <w:t>. Abstrak terdiri atas; pokok permasalahan, tujuan, metode, hasil, dan kesimpulan. Abstrak ditulis dalam bentuk satu paragraf, tanpa acuan (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refrensi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), tanpa singkatan/akronim, dan tanpa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foot</w:t>
      </w:r>
      <w:proofErr w:type="spellEnd"/>
      <w:r w:rsidR="00167804">
        <w:rPr>
          <w:rFonts w:ascii="Palatino Linotype" w:hAnsi="Palatino Linotype" w:cstheme="majorBidi"/>
          <w:sz w:val="24"/>
          <w:szCs w:val="24"/>
          <w:lang w:val="en-US"/>
        </w:rPr>
        <w:t xml:space="preserve"> n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one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.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Astrak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ditulis bukan dalam bentuk matematis, pertanyaan dan dugaan. Abstrak bukan merupakan hasil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copy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paste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dari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kalima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yang ada dalam isi naskah. Isi abstrak bahasa inggris maksimal 150-200 kata.</w:t>
      </w:r>
    </w:p>
    <w:p w14:paraId="24F3D359" w14:textId="77777777" w:rsidR="000232F4" w:rsidRDefault="000232F4" w:rsidP="000232F4">
      <w:pPr>
        <w:spacing w:after="0" w:line="240" w:lineRule="auto"/>
        <w:jc w:val="both"/>
        <w:rPr>
          <w:rFonts w:ascii="Palatino Linotype" w:hAnsi="Palatino Linotype" w:cstheme="majorBidi"/>
          <w:sz w:val="24"/>
          <w:szCs w:val="24"/>
          <w:lang w:val="en-US"/>
        </w:rPr>
      </w:pPr>
    </w:p>
    <w:p w14:paraId="5F91D1DF" w14:textId="77777777" w:rsidR="000232F4" w:rsidRPr="00C3578B" w:rsidRDefault="000232F4" w:rsidP="000232F4">
      <w:pPr>
        <w:spacing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  <w:proofErr w:type="spellStart"/>
      <w:r w:rsidRPr="00C3578B">
        <w:rPr>
          <w:rFonts w:ascii="Palatino Linotype" w:hAnsi="Palatino Linotype" w:cstheme="majorBidi"/>
          <w:b/>
          <w:bCs/>
          <w:sz w:val="24"/>
          <w:szCs w:val="24"/>
        </w:rPr>
        <w:t>Keyword</w:t>
      </w:r>
      <w:proofErr w:type="spellEnd"/>
      <w:r w:rsidRPr="00C3578B">
        <w:rPr>
          <w:rFonts w:ascii="Palatino Linotype" w:hAnsi="Palatino Linotype" w:cstheme="majorBidi"/>
          <w:b/>
          <w:bCs/>
          <w:sz w:val="24"/>
          <w:szCs w:val="24"/>
        </w:rPr>
        <w:t>:</w:t>
      </w:r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Keyword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satu,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Keyword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satu,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Keyword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satu; dst. (minimal 3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keyword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>)</w:t>
      </w:r>
    </w:p>
    <w:p w14:paraId="782D4FE5" w14:textId="77777777" w:rsidR="000232F4" w:rsidRPr="00C3578B" w:rsidRDefault="000232F4" w:rsidP="000232F4">
      <w:pPr>
        <w:spacing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</w:p>
    <w:p w14:paraId="7D5F0D02" w14:textId="77777777" w:rsidR="000232F4" w:rsidRPr="00C3578B" w:rsidRDefault="000232F4" w:rsidP="000232F4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</w:rPr>
      </w:pPr>
      <w:r w:rsidRPr="00C3578B">
        <w:rPr>
          <w:rFonts w:ascii="Palatino Linotype" w:hAnsi="Palatino Linotype" w:cstheme="majorBidi"/>
          <w:b/>
          <w:bCs/>
          <w:sz w:val="24"/>
          <w:szCs w:val="24"/>
        </w:rPr>
        <w:t>1. PENDAHULUAN</w:t>
      </w:r>
    </w:p>
    <w:p w14:paraId="35AFE26B" w14:textId="7E1BCBBA" w:rsidR="000232F4" w:rsidRPr="00C3578B" w:rsidRDefault="000232F4" w:rsidP="002C1B14">
      <w:pPr>
        <w:spacing w:after="0" w:line="240" w:lineRule="auto"/>
        <w:ind w:firstLine="720"/>
        <w:jc w:val="both"/>
        <w:rPr>
          <w:rFonts w:ascii="Palatino Linotype" w:hAnsi="Palatino Linotype" w:cstheme="majorBidi"/>
          <w:sz w:val="24"/>
          <w:szCs w:val="24"/>
          <w:lang w:val="en-US"/>
        </w:rPr>
      </w:pPr>
      <w:r w:rsidRPr="00C3578B">
        <w:rPr>
          <w:rFonts w:ascii="Palatino Linotype" w:hAnsi="Palatino Linotype" w:cstheme="majorBidi"/>
          <w:sz w:val="24"/>
          <w:szCs w:val="24"/>
        </w:rPr>
        <w:t>Isi pendahuluan adalah hal mendasar atau urgensi permasalahan yang melatarbelakangi ditulisnya kajian/penelitian, ditulis</w:t>
      </w:r>
      <w:r w:rsidR="00762B28" w:rsidRPr="00C3578B">
        <w:rPr>
          <w:rFonts w:ascii="Palatino Linotype" w:hAnsi="Palatino Linotype" w:cstheme="majorBidi"/>
          <w:sz w:val="24"/>
          <w:szCs w:val="24"/>
        </w:rPr>
        <w:t xml:space="preserve"> dengan </w:t>
      </w:r>
      <w:proofErr w:type="spellStart"/>
      <w:r w:rsidR="00762B28" w:rsidRPr="00C3578B">
        <w:rPr>
          <w:rFonts w:ascii="Palatino Linotype" w:hAnsi="Palatino Linotype" w:cstheme="majorBidi"/>
          <w:sz w:val="24"/>
          <w:szCs w:val="24"/>
        </w:rPr>
        <w:t>font</w:t>
      </w:r>
      <w:proofErr w:type="spellEnd"/>
      <w:r w:rsidR="002C1B14">
        <w:rPr>
          <w:rFonts w:ascii="Palatino Linotype" w:hAnsi="Palatino Linotype" w:cstheme="majorBidi"/>
          <w:sz w:val="24"/>
          <w:szCs w:val="24"/>
          <w:lang w:val="en-US"/>
        </w:rPr>
        <w:t>s</w:t>
      </w:r>
      <w:r w:rsidR="00762B28"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 xml:space="preserve">Palatino Linotype </w:t>
      </w:r>
      <w:proofErr w:type="spellStart"/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>ukuran</w:t>
      </w:r>
      <w:proofErr w:type="spellEnd"/>
      <w:r w:rsidR="00C3578B" w:rsidRPr="00C3578B">
        <w:rPr>
          <w:rFonts w:ascii="Palatino Linotype" w:hAnsi="Palatino Linotype" w:cstheme="majorBidi"/>
          <w:sz w:val="24"/>
          <w:szCs w:val="24"/>
        </w:rPr>
        <w:t xml:space="preserve"> 1</w:t>
      </w:r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>2</w:t>
      </w:r>
    </w:p>
    <w:p w14:paraId="03F035CB" w14:textId="77777777" w:rsidR="00C3578B" w:rsidRPr="00C3578B" w:rsidRDefault="00C3578B" w:rsidP="00C3578B">
      <w:pPr>
        <w:spacing w:after="0" w:line="240" w:lineRule="auto"/>
        <w:ind w:firstLine="720"/>
        <w:jc w:val="both"/>
        <w:rPr>
          <w:rFonts w:ascii="Palatino Linotype" w:hAnsi="Palatino Linotype" w:cstheme="majorBidi"/>
          <w:sz w:val="24"/>
          <w:szCs w:val="24"/>
        </w:rPr>
      </w:pPr>
    </w:p>
    <w:p w14:paraId="43E5350E" w14:textId="28B0263D" w:rsidR="000232F4" w:rsidRPr="00C3578B" w:rsidRDefault="00295477" w:rsidP="000232F4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</w:rPr>
      </w:pPr>
      <w:r w:rsidRPr="00C3578B">
        <w:rPr>
          <w:rFonts w:ascii="Palatino Linotype" w:hAnsi="Palatino Linotype" w:cstheme="majorBidi"/>
          <w:b/>
          <w:bCs/>
          <w:sz w:val="24"/>
          <w:szCs w:val="24"/>
          <w:lang w:val="en-US"/>
        </w:rPr>
        <w:t>2</w:t>
      </w:r>
      <w:r w:rsidR="000232F4" w:rsidRPr="00C3578B">
        <w:rPr>
          <w:rFonts w:ascii="Palatino Linotype" w:hAnsi="Palatino Linotype" w:cstheme="majorBidi"/>
          <w:b/>
          <w:bCs/>
          <w:sz w:val="24"/>
          <w:szCs w:val="24"/>
        </w:rPr>
        <w:t>. METODE</w:t>
      </w:r>
    </w:p>
    <w:p w14:paraId="4B312623" w14:textId="33E30FDD" w:rsidR="000232F4" w:rsidRPr="00C3578B" w:rsidRDefault="000232F4" w:rsidP="002C1B14">
      <w:pPr>
        <w:spacing w:after="0" w:line="240" w:lineRule="auto"/>
        <w:ind w:firstLine="720"/>
        <w:jc w:val="both"/>
        <w:rPr>
          <w:rFonts w:ascii="Palatino Linotype" w:hAnsi="Palatino Linotype" w:cstheme="majorBidi"/>
          <w:sz w:val="24"/>
          <w:szCs w:val="24"/>
          <w:lang w:val="en-ID"/>
        </w:rPr>
      </w:pPr>
      <w:r w:rsidRPr="00C3578B">
        <w:rPr>
          <w:rFonts w:ascii="Palatino Linotype" w:hAnsi="Palatino Linotype" w:cstheme="majorBidi"/>
          <w:sz w:val="24"/>
          <w:szCs w:val="24"/>
        </w:rPr>
        <w:t xml:space="preserve">Isi metode kajian adalah teknik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pengmpulan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data, sumber data, cara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nalisis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data, uji korelasi, dan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sebgainya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>, ditulis</w:t>
      </w:r>
      <w:r w:rsidR="00762B28" w:rsidRPr="00C3578B">
        <w:rPr>
          <w:rFonts w:ascii="Palatino Linotype" w:hAnsi="Palatino Linotype" w:cstheme="majorBidi"/>
          <w:sz w:val="24"/>
          <w:szCs w:val="24"/>
        </w:rPr>
        <w:t xml:space="preserve"> dengan </w:t>
      </w:r>
      <w:proofErr w:type="spellStart"/>
      <w:r w:rsidR="00762B28" w:rsidRPr="00C3578B">
        <w:rPr>
          <w:rFonts w:ascii="Palatino Linotype" w:hAnsi="Palatino Linotype" w:cstheme="majorBidi"/>
          <w:sz w:val="24"/>
          <w:szCs w:val="24"/>
        </w:rPr>
        <w:t>font</w:t>
      </w:r>
      <w:proofErr w:type="spellEnd"/>
      <w:r w:rsidR="002C1B14">
        <w:rPr>
          <w:rFonts w:ascii="Palatino Linotype" w:hAnsi="Palatino Linotype" w:cstheme="majorBidi"/>
          <w:sz w:val="24"/>
          <w:szCs w:val="24"/>
          <w:lang w:val="en-US"/>
        </w:rPr>
        <w:t>s</w:t>
      </w:r>
      <w:r w:rsidR="00762B28"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r w:rsidR="002C1B14" w:rsidRPr="00C3578B">
        <w:rPr>
          <w:rFonts w:ascii="Palatino Linotype" w:hAnsi="Palatino Linotype" w:cstheme="majorBidi"/>
          <w:sz w:val="24"/>
          <w:szCs w:val="24"/>
          <w:lang w:val="en-US"/>
        </w:rPr>
        <w:t xml:space="preserve">Palatino Linotype </w:t>
      </w:r>
      <w:proofErr w:type="spellStart"/>
      <w:r w:rsidR="002C1B14" w:rsidRPr="00C3578B">
        <w:rPr>
          <w:rFonts w:ascii="Palatino Linotype" w:hAnsi="Palatino Linotype" w:cstheme="majorBidi"/>
          <w:sz w:val="24"/>
          <w:szCs w:val="24"/>
          <w:lang w:val="en-US"/>
        </w:rPr>
        <w:t>ukuran</w:t>
      </w:r>
      <w:proofErr w:type="spellEnd"/>
      <w:r w:rsidR="002C1B14" w:rsidRPr="00C3578B">
        <w:rPr>
          <w:rFonts w:ascii="Palatino Linotype" w:hAnsi="Palatino Linotype" w:cstheme="majorBidi"/>
          <w:sz w:val="24"/>
          <w:szCs w:val="24"/>
        </w:rPr>
        <w:t xml:space="preserve"> 1</w:t>
      </w:r>
      <w:r w:rsidR="002C1B14" w:rsidRPr="00C3578B">
        <w:rPr>
          <w:rFonts w:ascii="Palatino Linotype" w:hAnsi="Palatino Linotype" w:cstheme="majorBidi"/>
          <w:sz w:val="24"/>
          <w:szCs w:val="24"/>
          <w:lang w:val="en-US"/>
        </w:rPr>
        <w:t>2</w:t>
      </w:r>
      <w:r w:rsidRPr="00C3578B">
        <w:rPr>
          <w:rFonts w:ascii="Palatino Linotype" w:hAnsi="Palatino Linotype" w:cstheme="majorBidi"/>
          <w:sz w:val="24"/>
          <w:szCs w:val="24"/>
        </w:rPr>
        <w:t xml:space="preserve">. Dalam bab ini dapat juga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dicntumkan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rumus ilmiah yang digunakan untuk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nalisis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data/uji korelasi.</w:t>
      </w:r>
      <w:r w:rsidR="00611D0F" w:rsidRPr="00C3578B">
        <w:rPr>
          <w:rFonts w:ascii="Palatino Linotype" w:hAnsi="Palatino Linotype" w:cstheme="majorBidi"/>
          <w:sz w:val="24"/>
          <w:szCs w:val="24"/>
          <w:lang w:val="en-ID"/>
        </w:rPr>
        <w:t xml:space="preserve"> </w:t>
      </w:r>
    </w:p>
    <w:p w14:paraId="3790F491" w14:textId="77777777" w:rsidR="000232F4" w:rsidRPr="00C3578B" w:rsidRDefault="000232F4" w:rsidP="000232F4">
      <w:pPr>
        <w:spacing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</w:p>
    <w:p w14:paraId="4F032F13" w14:textId="7919FA75" w:rsidR="000232F4" w:rsidRPr="00C3578B" w:rsidRDefault="00295477" w:rsidP="000232F4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</w:rPr>
      </w:pPr>
      <w:r w:rsidRPr="00C3578B">
        <w:rPr>
          <w:rFonts w:ascii="Palatino Linotype" w:hAnsi="Palatino Linotype" w:cstheme="majorBidi"/>
          <w:b/>
          <w:bCs/>
          <w:sz w:val="24"/>
          <w:szCs w:val="24"/>
          <w:lang w:val="en-US"/>
        </w:rPr>
        <w:t>3</w:t>
      </w:r>
      <w:r w:rsidR="000232F4" w:rsidRPr="00C3578B">
        <w:rPr>
          <w:rFonts w:ascii="Palatino Linotype" w:hAnsi="Palatino Linotype" w:cstheme="majorBidi"/>
          <w:b/>
          <w:bCs/>
          <w:sz w:val="24"/>
          <w:szCs w:val="24"/>
        </w:rPr>
        <w:t xml:space="preserve">. HASIL </w:t>
      </w:r>
      <w:r w:rsidR="00C3578B">
        <w:rPr>
          <w:rFonts w:ascii="Palatino Linotype" w:hAnsi="Palatino Linotype" w:cstheme="majorBidi"/>
          <w:b/>
          <w:bCs/>
          <w:sz w:val="24"/>
          <w:szCs w:val="24"/>
          <w:lang w:val="en-US"/>
        </w:rPr>
        <w:t xml:space="preserve">DAN </w:t>
      </w:r>
      <w:r w:rsidR="000232F4" w:rsidRPr="00C3578B">
        <w:rPr>
          <w:rFonts w:ascii="Palatino Linotype" w:hAnsi="Palatino Linotype" w:cstheme="majorBidi"/>
          <w:b/>
          <w:bCs/>
          <w:sz w:val="24"/>
          <w:szCs w:val="24"/>
        </w:rPr>
        <w:t>PEMBAHASAN</w:t>
      </w:r>
    </w:p>
    <w:p w14:paraId="4831C1EB" w14:textId="585229CB" w:rsidR="000232F4" w:rsidRPr="00C3578B" w:rsidRDefault="00295477" w:rsidP="000232F4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</w:rPr>
      </w:pPr>
      <w:r w:rsidRPr="00C3578B">
        <w:rPr>
          <w:rFonts w:ascii="Palatino Linotype" w:hAnsi="Palatino Linotype" w:cstheme="majorBidi"/>
          <w:b/>
          <w:bCs/>
          <w:sz w:val="24"/>
          <w:szCs w:val="24"/>
          <w:lang w:val="en-US"/>
        </w:rPr>
        <w:t>3</w:t>
      </w:r>
      <w:r w:rsidR="000232F4" w:rsidRPr="00C3578B">
        <w:rPr>
          <w:rFonts w:ascii="Palatino Linotype" w:hAnsi="Palatino Linotype" w:cstheme="majorBidi"/>
          <w:b/>
          <w:bCs/>
          <w:sz w:val="24"/>
          <w:szCs w:val="24"/>
        </w:rPr>
        <w:t>.1 Isi Hasil dan Pembahasan</w:t>
      </w:r>
    </w:p>
    <w:p w14:paraId="37E9424B" w14:textId="5C2B3099" w:rsidR="000232F4" w:rsidRPr="00C3578B" w:rsidRDefault="000232F4" w:rsidP="002C1B14">
      <w:pPr>
        <w:spacing w:after="0" w:line="240" w:lineRule="auto"/>
        <w:ind w:firstLine="720"/>
        <w:jc w:val="both"/>
        <w:rPr>
          <w:rFonts w:ascii="Palatino Linotype" w:hAnsi="Palatino Linotype" w:cstheme="majorBidi"/>
          <w:sz w:val="24"/>
          <w:szCs w:val="24"/>
          <w:lang w:val="en-ID"/>
        </w:rPr>
      </w:pPr>
      <w:r w:rsidRPr="00C3578B">
        <w:rPr>
          <w:rFonts w:ascii="Palatino Linotype" w:hAnsi="Palatino Linotype" w:cstheme="majorBidi"/>
          <w:sz w:val="24"/>
          <w:szCs w:val="24"/>
        </w:rPr>
        <w:t xml:space="preserve">Bahasan utama berisi hasil dan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pembahsan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, ditulis dengan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font</w:t>
      </w:r>
      <w:proofErr w:type="spellEnd"/>
      <w:r w:rsidR="002C1B14">
        <w:rPr>
          <w:rFonts w:ascii="Palatino Linotype" w:hAnsi="Palatino Linotype" w:cstheme="majorBidi"/>
          <w:sz w:val="24"/>
          <w:szCs w:val="24"/>
          <w:lang w:val="en-US"/>
        </w:rPr>
        <w:t>s</w:t>
      </w:r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 xml:space="preserve">Palatino Linotype </w:t>
      </w:r>
      <w:proofErr w:type="spellStart"/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>ukuran</w:t>
      </w:r>
      <w:proofErr w:type="spellEnd"/>
      <w:r w:rsidR="00C3578B"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r w:rsidRPr="00C3578B">
        <w:rPr>
          <w:rFonts w:ascii="Palatino Linotype" w:hAnsi="Palatino Linotype" w:cstheme="majorBidi"/>
          <w:sz w:val="24"/>
          <w:szCs w:val="24"/>
        </w:rPr>
        <w:t>1</w:t>
      </w:r>
      <w:r w:rsidR="00762B28" w:rsidRPr="00C3578B">
        <w:rPr>
          <w:rFonts w:ascii="Palatino Linotype" w:hAnsi="Palatino Linotype" w:cstheme="majorBidi"/>
          <w:sz w:val="24"/>
          <w:szCs w:val="24"/>
          <w:lang w:val="en-US"/>
        </w:rPr>
        <w:t>2</w:t>
      </w:r>
      <w:r w:rsidRPr="00C3578B">
        <w:rPr>
          <w:rFonts w:ascii="Palatino Linotype" w:hAnsi="Palatino Linotype" w:cstheme="majorBidi"/>
          <w:sz w:val="24"/>
          <w:szCs w:val="24"/>
        </w:rPr>
        <w:t xml:space="preserve">. Hasil bukan merupakan data mentah, melainkan data yang sudah diolah/ dianalisis dengan metode yang telah ditetapkan. Pembahasan adalah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pernbandingan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hasil yang diperoleh dengan konsep/teori yang ada dalam tinjauan pusta. Isi hasil dan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pmebahsan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menckup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pernyataan, tabel, gambar, diagram, grafik, sketsa, dan sebagainya.</w:t>
      </w:r>
      <w:r w:rsidR="00611D0F" w:rsidRPr="00C3578B">
        <w:rPr>
          <w:rFonts w:ascii="Palatino Linotype" w:hAnsi="Palatino Linotype" w:cstheme="majorBidi"/>
          <w:sz w:val="24"/>
          <w:szCs w:val="24"/>
          <w:lang w:val="en-ID"/>
        </w:rPr>
        <w:t xml:space="preserve"> </w:t>
      </w:r>
    </w:p>
    <w:p w14:paraId="0AA0FCA2" w14:textId="77777777" w:rsidR="000232F4" w:rsidRPr="00C3578B" w:rsidRDefault="000232F4" w:rsidP="000232F4">
      <w:pPr>
        <w:spacing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</w:p>
    <w:p w14:paraId="5D088DF8" w14:textId="7E9B65C1" w:rsidR="000232F4" w:rsidRPr="00C3578B" w:rsidRDefault="00295477" w:rsidP="000232F4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</w:rPr>
      </w:pPr>
      <w:r w:rsidRPr="00C3578B">
        <w:rPr>
          <w:rFonts w:ascii="Palatino Linotype" w:hAnsi="Palatino Linotype" w:cstheme="majorBidi"/>
          <w:b/>
          <w:bCs/>
          <w:sz w:val="24"/>
          <w:szCs w:val="24"/>
          <w:lang w:val="en-US"/>
        </w:rPr>
        <w:t>3</w:t>
      </w:r>
      <w:r w:rsidR="000232F4" w:rsidRPr="00C3578B">
        <w:rPr>
          <w:rFonts w:ascii="Palatino Linotype" w:hAnsi="Palatino Linotype" w:cstheme="majorBidi"/>
          <w:b/>
          <w:bCs/>
          <w:sz w:val="24"/>
          <w:szCs w:val="24"/>
        </w:rPr>
        <w:t>.1.1 Isi Hasil Pembahasan</w:t>
      </w:r>
    </w:p>
    <w:p w14:paraId="2C3B48FF" w14:textId="5BE72364" w:rsidR="000232F4" w:rsidRPr="00C3578B" w:rsidRDefault="000232F4" w:rsidP="002C1B14">
      <w:pPr>
        <w:spacing w:after="0" w:line="240" w:lineRule="auto"/>
        <w:jc w:val="both"/>
        <w:rPr>
          <w:rFonts w:ascii="Palatino Linotype" w:hAnsi="Palatino Linotype" w:cstheme="majorBidi"/>
          <w:sz w:val="24"/>
          <w:szCs w:val="24"/>
          <w:lang w:val="en-ID"/>
        </w:rPr>
      </w:pPr>
      <w:r w:rsidRPr="00C3578B">
        <w:rPr>
          <w:rFonts w:ascii="Palatino Linotype" w:hAnsi="Palatino Linotype" w:cstheme="majorBidi"/>
          <w:sz w:val="24"/>
          <w:szCs w:val="24"/>
        </w:rPr>
        <w:t>Bagian ini berisi sub-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bahsan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utmaa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ditulis</w:t>
      </w:r>
      <w:r w:rsidR="00762B28" w:rsidRPr="00C3578B">
        <w:rPr>
          <w:rFonts w:ascii="Palatino Linotype" w:hAnsi="Palatino Linotype" w:cstheme="majorBidi"/>
          <w:sz w:val="24"/>
          <w:szCs w:val="24"/>
        </w:rPr>
        <w:t xml:space="preserve"> dengan </w:t>
      </w:r>
      <w:proofErr w:type="spellStart"/>
      <w:r w:rsidR="00762B28" w:rsidRPr="00C3578B">
        <w:rPr>
          <w:rFonts w:ascii="Palatino Linotype" w:hAnsi="Palatino Linotype" w:cstheme="majorBidi"/>
          <w:sz w:val="24"/>
          <w:szCs w:val="24"/>
        </w:rPr>
        <w:t>font</w:t>
      </w:r>
      <w:proofErr w:type="spellEnd"/>
      <w:r w:rsidR="002C1B14">
        <w:rPr>
          <w:rFonts w:ascii="Palatino Linotype" w:hAnsi="Palatino Linotype" w:cstheme="majorBidi"/>
          <w:sz w:val="24"/>
          <w:szCs w:val="24"/>
          <w:lang w:val="en-US"/>
        </w:rPr>
        <w:t>s</w:t>
      </w:r>
      <w:r w:rsidR="00762B28"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 xml:space="preserve">Palatino Linotype </w:t>
      </w:r>
      <w:proofErr w:type="spellStart"/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>ukuran</w:t>
      </w:r>
      <w:proofErr w:type="spellEnd"/>
      <w:r w:rsidR="00C3578B" w:rsidRPr="00C3578B">
        <w:rPr>
          <w:rFonts w:ascii="Palatino Linotype" w:hAnsi="Palatino Linotype" w:cstheme="majorBidi"/>
          <w:sz w:val="24"/>
          <w:szCs w:val="24"/>
        </w:rPr>
        <w:t xml:space="preserve"> 1</w:t>
      </w:r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>2</w:t>
      </w:r>
      <w:r w:rsidRPr="00C3578B">
        <w:rPr>
          <w:rFonts w:ascii="Palatino Linotype" w:hAnsi="Palatino Linotype" w:cstheme="majorBidi"/>
          <w:sz w:val="24"/>
          <w:szCs w:val="24"/>
        </w:rPr>
        <w:t>. Sub-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bhasan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ditulis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secsara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sistematis. Diharapkan penomoran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dalm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sub-bahasan jangan ditulis terlalu banyak.</w:t>
      </w:r>
      <w:r w:rsidR="00611D0F" w:rsidRPr="00C3578B">
        <w:rPr>
          <w:rFonts w:ascii="Palatino Linotype" w:hAnsi="Palatino Linotype" w:cstheme="majorBidi"/>
          <w:sz w:val="24"/>
          <w:szCs w:val="24"/>
          <w:lang w:val="en-ID"/>
        </w:rPr>
        <w:t xml:space="preserve"> </w:t>
      </w:r>
    </w:p>
    <w:p w14:paraId="796C39AC" w14:textId="77777777" w:rsidR="000232F4" w:rsidRPr="00C3578B" w:rsidRDefault="000232F4" w:rsidP="000232F4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</w:rPr>
      </w:pPr>
    </w:p>
    <w:p w14:paraId="3AC268F8" w14:textId="1A535A93" w:rsidR="000232F4" w:rsidRPr="00C3578B" w:rsidRDefault="00295477" w:rsidP="000232F4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</w:rPr>
      </w:pPr>
      <w:r w:rsidRPr="00C3578B">
        <w:rPr>
          <w:rFonts w:ascii="Palatino Linotype" w:hAnsi="Palatino Linotype" w:cstheme="majorBidi"/>
          <w:b/>
          <w:bCs/>
          <w:sz w:val="24"/>
          <w:szCs w:val="24"/>
          <w:lang w:val="en-US"/>
        </w:rPr>
        <w:t>4</w:t>
      </w:r>
      <w:r w:rsidR="000232F4" w:rsidRPr="00C3578B">
        <w:rPr>
          <w:rFonts w:ascii="Palatino Linotype" w:hAnsi="Palatino Linotype" w:cstheme="majorBidi"/>
          <w:b/>
          <w:bCs/>
          <w:sz w:val="24"/>
          <w:szCs w:val="24"/>
        </w:rPr>
        <w:t>. KESIMPULAN</w:t>
      </w:r>
    </w:p>
    <w:p w14:paraId="4F41CA22" w14:textId="29A5101F" w:rsidR="000232F4" w:rsidRPr="00C3578B" w:rsidRDefault="000232F4" w:rsidP="00C3578B">
      <w:pPr>
        <w:spacing w:after="0" w:line="240" w:lineRule="auto"/>
        <w:jc w:val="both"/>
        <w:rPr>
          <w:rFonts w:ascii="Palatino Linotype" w:hAnsi="Palatino Linotype" w:cstheme="majorBidi"/>
          <w:sz w:val="24"/>
          <w:szCs w:val="24"/>
          <w:lang w:val="en-ID"/>
        </w:rPr>
      </w:pPr>
      <w:r w:rsidRPr="00C3578B">
        <w:rPr>
          <w:rFonts w:ascii="Palatino Linotype" w:hAnsi="Palatino Linotype" w:cstheme="majorBidi"/>
          <w:sz w:val="24"/>
          <w:szCs w:val="24"/>
        </w:rPr>
        <w:t>Isi kesim</w:t>
      </w:r>
      <w:r w:rsidR="00762B28" w:rsidRPr="00C3578B">
        <w:rPr>
          <w:rFonts w:ascii="Palatino Linotype" w:hAnsi="Palatino Linotype" w:cstheme="majorBidi"/>
          <w:sz w:val="24"/>
          <w:szCs w:val="24"/>
        </w:rPr>
        <w:t xml:space="preserve">pulan ditulis </w:t>
      </w:r>
      <w:proofErr w:type="spellStart"/>
      <w:r w:rsidR="00C3578B">
        <w:rPr>
          <w:rFonts w:ascii="Palatino Linotype" w:hAnsi="Palatino Linotype" w:cstheme="majorBidi"/>
          <w:sz w:val="24"/>
          <w:szCs w:val="24"/>
          <w:lang w:val="en-US"/>
        </w:rPr>
        <w:t>dengan</w:t>
      </w:r>
      <w:proofErr w:type="spellEnd"/>
      <w:r w:rsidR="00C3578B">
        <w:rPr>
          <w:rFonts w:ascii="Palatino Linotype" w:hAnsi="Palatino Linotype" w:cstheme="majorBidi"/>
          <w:sz w:val="24"/>
          <w:szCs w:val="24"/>
          <w:lang w:val="en-US"/>
        </w:rPr>
        <w:t xml:space="preserve"> fonts </w:t>
      </w:r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 xml:space="preserve">Palatino Linotype </w:t>
      </w:r>
      <w:proofErr w:type="spellStart"/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>ukuran</w:t>
      </w:r>
      <w:proofErr w:type="spellEnd"/>
      <w:r w:rsidR="00C3578B" w:rsidRPr="00C3578B">
        <w:rPr>
          <w:rFonts w:ascii="Palatino Linotype" w:hAnsi="Palatino Linotype" w:cstheme="majorBidi"/>
          <w:sz w:val="24"/>
          <w:szCs w:val="24"/>
        </w:rPr>
        <w:t xml:space="preserve"> 1</w:t>
      </w:r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>2</w:t>
      </w:r>
      <w:r w:rsidRPr="00C3578B">
        <w:rPr>
          <w:rFonts w:ascii="Palatino Linotype" w:hAnsi="Palatino Linotype" w:cstheme="majorBidi"/>
          <w:sz w:val="24"/>
          <w:szCs w:val="24"/>
        </w:rPr>
        <w:t xml:space="preserve">. Kesimpulan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merupaka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ikhtisar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dasri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penelitian yang telah dilakukan. Kesimpulan bukan merupakan ringkasan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dair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hasil pembahasan yang mengacu pada terori tertentu, tetapi hasil dari analisis/ uji korelasi data yang dibahas.</w:t>
      </w:r>
      <w:r w:rsidR="00611D0F" w:rsidRPr="00C3578B">
        <w:rPr>
          <w:rFonts w:ascii="Palatino Linotype" w:hAnsi="Palatino Linotype" w:cstheme="majorBidi"/>
          <w:sz w:val="24"/>
          <w:szCs w:val="24"/>
          <w:lang w:val="en-ID"/>
        </w:rPr>
        <w:t xml:space="preserve"> </w:t>
      </w:r>
      <w:proofErr w:type="spellStart"/>
      <w:r w:rsidR="00611D0F" w:rsidRPr="00C3578B">
        <w:rPr>
          <w:rFonts w:ascii="Palatino Linotype" w:hAnsi="Palatino Linotype" w:cstheme="majorBidi"/>
          <w:sz w:val="24"/>
          <w:szCs w:val="24"/>
          <w:lang w:val="en-ID"/>
        </w:rPr>
        <w:t>Dibuat</w:t>
      </w:r>
      <w:proofErr w:type="spellEnd"/>
      <w:r w:rsidR="00611D0F" w:rsidRPr="00C3578B">
        <w:rPr>
          <w:rFonts w:ascii="Palatino Linotype" w:hAnsi="Palatino Linotype" w:cstheme="majorBidi"/>
          <w:sz w:val="24"/>
          <w:szCs w:val="24"/>
          <w:lang w:val="en-ID"/>
        </w:rPr>
        <w:t xml:space="preserve"> 1 </w:t>
      </w:r>
      <w:proofErr w:type="spellStart"/>
      <w:r w:rsidR="00611D0F" w:rsidRPr="00C3578B">
        <w:rPr>
          <w:rFonts w:ascii="Palatino Linotype" w:hAnsi="Palatino Linotype" w:cstheme="majorBidi"/>
          <w:sz w:val="24"/>
          <w:szCs w:val="24"/>
          <w:lang w:val="en-ID"/>
        </w:rPr>
        <w:t>kolom</w:t>
      </w:r>
      <w:proofErr w:type="spellEnd"/>
    </w:p>
    <w:p w14:paraId="29F4649A" w14:textId="77777777" w:rsidR="000232F4" w:rsidRPr="00C3578B" w:rsidRDefault="000232F4" w:rsidP="000232F4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</w:rPr>
      </w:pPr>
    </w:p>
    <w:p w14:paraId="1FC43127" w14:textId="42C34D67" w:rsidR="000232F4" w:rsidRPr="00C3578B" w:rsidRDefault="00C3578B" w:rsidP="00C3578B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</w:rPr>
      </w:pPr>
      <w:r>
        <w:rPr>
          <w:rFonts w:ascii="Palatino Linotype" w:hAnsi="Palatino Linotype" w:cstheme="majorBidi"/>
          <w:b/>
          <w:bCs/>
          <w:sz w:val="24"/>
          <w:szCs w:val="24"/>
          <w:lang w:val="en-US"/>
        </w:rPr>
        <w:t>5</w:t>
      </w:r>
      <w:r w:rsidR="000232F4" w:rsidRPr="00C3578B">
        <w:rPr>
          <w:rFonts w:ascii="Palatino Linotype" w:hAnsi="Palatino Linotype" w:cstheme="majorBidi"/>
          <w:b/>
          <w:bCs/>
          <w:sz w:val="24"/>
          <w:szCs w:val="24"/>
        </w:rPr>
        <w:t>. SARAN DAN UCAPAN TERIMAKASIH (jika ada)</w:t>
      </w:r>
    </w:p>
    <w:p w14:paraId="0C64C4F7" w14:textId="18D72EA9" w:rsidR="000232F4" w:rsidRDefault="000232F4" w:rsidP="00167804">
      <w:pPr>
        <w:spacing w:after="0" w:line="240" w:lineRule="auto"/>
        <w:jc w:val="both"/>
        <w:rPr>
          <w:rFonts w:ascii="Palatino Linotype" w:hAnsi="Palatino Linotype" w:cstheme="majorBidi"/>
          <w:sz w:val="24"/>
          <w:szCs w:val="24"/>
          <w:lang w:val="en-US"/>
        </w:rPr>
      </w:pPr>
      <w:r w:rsidRPr="00C3578B">
        <w:rPr>
          <w:rFonts w:ascii="Palatino Linotype" w:hAnsi="Palatino Linotype" w:cstheme="majorBidi"/>
          <w:sz w:val="24"/>
          <w:szCs w:val="24"/>
        </w:rPr>
        <w:t xml:space="preserve">Saran dan ucapan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terimakasih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bersifat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optional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(jika ada), ditulis satu paragraf dengan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font</w:t>
      </w:r>
      <w:proofErr w:type="spellEnd"/>
      <w:r w:rsidR="00167804">
        <w:rPr>
          <w:rFonts w:ascii="Palatino Linotype" w:hAnsi="Palatino Linotype" w:cstheme="majorBidi"/>
          <w:sz w:val="24"/>
          <w:szCs w:val="24"/>
          <w:lang w:val="en-US"/>
        </w:rPr>
        <w:t>s</w:t>
      </w:r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r w:rsidR="00167804" w:rsidRPr="00C3578B">
        <w:rPr>
          <w:rFonts w:ascii="Palatino Linotype" w:hAnsi="Palatino Linotype" w:cstheme="majorBidi"/>
          <w:sz w:val="24"/>
          <w:szCs w:val="24"/>
          <w:lang w:val="en-US"/>
        </w:rPr>
        <w:t xml:space="preserve">Palatino Linotype </w:t>
      </w:r>
      <w:proofErr w:type="spellStart"/>
      <w:r w:rsidR="00167804" w:rsidRPr="00C3578B">
        <w:rPr>
          <w:rFonts w:ascii="Palatino Linotype" w:hAnsi="Palatino Linotype" w:cstheme="majorBidi"/>
          <w:sz w:val="24"/>
          <w:szCs w:val="24"/>
          <w:lang w:val="en-US"/>
        </w:rPr>
        <w:t>ukuran</w:t>
      </w:r>
      <w:proofErr w:type="spellEnd"/>
      <w:r w:rsidR="00167804" w:rsidRPr="00C3578B">
        <w:rPr>
          <w:rFonts w:ascii="Palatino Linotype" w:hAnsi="Palatino Linotype" w:cstheme="majorBidi"/>
          <w:sz w:val="24"/>
          <w:szCs w:val="24"/>
        </w:rPr>
        <w:t xml:space="preserve"> 1</w:t>
      </w:r>
      <w:r w:rsidR="00167804" w:rsidRPr="00C3578B">
        <w:rPr>
          <w:rFonts w:ascii="Palatino Linotype" w:hAnsi="Palatino Linotype" w:cstheme="majorBidi"/>
          <w:sz w:val="24"/>
          <w:szCs w:val="24"/>
          <w:lang w:val="en-US"/>
        </w:rPr>
        <w:t>2</w:t>
      </w:r>
    </w:p>
    <w:p w14:paraId="1225B648" w14:textId="77777777" w:rsidR="00167804" w:rsidRPr="00C3578B" w:rsidRDefault="00167804" w:rsidP="00167804">
      <w:pPr>
        <w:spacing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</w:p>
    <w:p w14:paraId="10E4FF84" w14:textId="77777777" w:rsidR="000232F4" w:rsidRPr="00C3578B" w:rsidRDefault="000232F4" w:rsidP="000232F4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</w:rPr>
      </w:pPr>
      <w:r w:rsidRPr="00C3578B">
        <w:rPr>
          <w:rFonts w:ascii="Palatino Linotype" w:hAnsi="Palatino Linotype" w:cstheme="majorBidi"/>
          <w:b/>
          <w:bCs/>
          <w:sz w:val="24"/>
          <w:szCs w:val="24"/>
        </w:rPr>
        <w:t>DAFTAR PUSTAKA</w:t>
      </w:r>
    </w:p>
    <w:p w14:paraId="3C2B1EE1" w14:textId="4E264846" w:rsidR="000232F4" w:rsidRPr="00167804" w:rsidRDefault="000232F4" w:rsidP="00167804">
      <w:pPr>
        <w:spacing w:after="0" w:line="240" w:lineRule="auto"/>
        <w:jc w:val="both"/>
        <w:rPr>
          <w:rFonts w:ascii="Palatino Linotype" w:hAnsi="Palatino Linotype" w:cstheme="majorBidi"/>
          <w:sz w:val="24"/>
          <w:szCs w:val="24"/>
          <w:lang w:val="en-US"/>
        </w:rPr>
      </w:pPr>
      <w:r w:rsidRPr="00C3578B">
        <w:rPr>
          <w:rFonts w:ascii="Palatino Linotype" w:hAnsi="Palatino Linotype" w:cstheme="majorBidi"/>
          <w:sz w:val="24"/>
          <w:szCs w:val="24"/>
        </w:rPr>
        <w:t xml:space="preserve">Isi daftar pustaka ditulis dengan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font</w:t>
      </w:r>
      <w:proofErr w:type="spellEnd"/>
      <w:r w:rsidR="002C1B14">
        <w:rPr>
          <w:rFonts w:ascii="Palatino Linotype" w:hAnsi="Palatino Linotype" w:cstheme="majorBidi"/>
          <w:sz w:val="24"/>
          <w:szCs w:val="24"/>
          <w:lang w:val="en-US"/>
        </w:rPr>
        <w:t>s</w:t>
      </w:r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 xml:space="preserve">Palatino Linotype </w:t>
      </w:r>
      <w:proofErr w:type="spellStart"/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>ukuran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1</w:t>
      </w:r>
      <w:r w:rsidR="00762B28" w:rsidRPr="00C3578B">
        <w:rPr>
          <w:rFonts w:ascii="Palatino Linotype" w:hAnsi="Palatino Linotype" w:cstheme="majorBidi"/>
          <w:sz w:val="24"/>
          <w:szCs w:val="24"/>
          <w:lang w:val="en-US"/>
        </w:rPr>
        <w:t>2</w:t>
      </w:r>
      <w:r w:rsidRPr="00C3578B">
        <w:rPr>
          <w:rFonts w:ascii="Palatino Linotype" w:hAnsi="Palatino Linotype" w:cstheme="majorBidi"/>
          <w:sz w:val="24"/>
          <w:szCs w:val="24"/>
        </w:rPr>
        <w:t xml:space="preserve"> dan ditulis 1 spasi. Daftar Pustaka merupakan sumber acuan/ rujukan yang dijadikan bahan kutipan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penlisan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naskah. Penulisan daftar pustaka merupakan sumber acuan/rujukan yang dijadikan bahan kutipan penulisan naskah. Penulisan daftar pustaka menggunakan aturan Chicago Manual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of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Style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(CMS)</w:t>
      </w:r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 xml:space="preserve"> 16</w:t>
      </w:r>
      <w:r w:rsidR="00C3578B" w:rsidRPr="00C3578B">
        <w:rPr>
          <w:rFonts w:ascii="Palatino Linotype" w:hAnsi="Palatino Linotype" w:cstheme="majorBidi"/>
          <w:sz w:val="24"/>
          <w:szCs w:val="24"/>
          <w:vertAlign w:val="superscript"/>
          <w:lang w:val="en-US"/>
        </w:rPr>
        <w:t>th</w:t>
      </w:r>
      <w:r w:rsidR="00C3578B" w:rsidRPr="00C3578B">
        <w:rPr>
          <w:rFonts w:ascii="Palatino Linotype" w:hAnsi="Palatino Linotype" w:cstheme="majorBidi"/>
          <w:sz w:val="24"/>
          <w:szCs w:val="24"/>
          <w:lang w:val="en-US"/>
        </w:rPr>
        <w:t xml:space="preserve"> Edition (full note)</w:t>
      </w:r>
      <w:r w:rsidRPr="00C3578B">
        <w:rPr>
          <w:rFonts w:ascii="Palatino Linotype" w:hAnsi="Palatino Linotype" w:cstheme="majorBidi"/>
          <w:sz w:val="24"/>
          <w:szCs w:val="24"/>
        </w:rPr>
        <w:t xml:space="preserve">. Jumlah sumber rujukan yang dijadikan daftar pustaka naskah minimal 10 judul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lieteratur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ilmiah</w:t>
      </w:r>
      <w:r w:rsidR="00611D0F" w:rsidRPr="00C3578B">
        <w:rPr>
          <w:rFonts w:ascii="Palatino Linotype" w:hAnsi="Palatino Linotype" w:cstheme="majorBidi"/>
          <w:sz w:val="24"/>
          <w:szCs w:val="24"/>
          <w:lang w:val="en-ID"/>
        </w:rPr>
        <w:t>/</w:t>
      </w:r>
      <w:proofErr w:type="spellStart"/>
      <w:r w:rsidR="00611D0F" w:rsidRPr="00C3578B">
        <w:rPr>
          <w:rFonts w:ascii="Palatino Linotype" w:hAnsi="Palatino Linotype" w:cstheme="majorBidi"/>
          <w:sz w:val="24"/>
          <w:szCs w:val="24"/>
          <w:lang w:val="en-ID"/>
        </w:rPr>
        <w:t>jurnal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(80%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refrensi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primer, dan 20%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refrensi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sekunder). Sumber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refrensi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primer, seperti: jurnal, laporan penelitian, skripsi,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tersis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, disertasi, dan makalah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prosiding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. Sumber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refrensi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sekunder, seperti: buku dan sumber internet. </w:t>
      </w:r>
      <w:r w:rsidR="00167804">
        <w:rPr>
          <w:rFonts w:ascii="Palatino Linotype" w:hAnsi="Palatino Linotype" w:cstheme="majorBidi"/>
          <w:sz w:val="24"/>
          <w:szCs w:val="24"/>
          <w:lang w:val="en-US"/>
        </w:rPr>
        <w:t>P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enulisan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kutipan menggunakan aplikasi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refrence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manager</w:t>
      </w:r>
      <w:proofErr w:type="spellEnd"/>
      <w:r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proofErr w:type="spellStart"/>
      <w:r w:rsidRPr="00C3578B">
        <w:rPr>
          <w:rFonts w:ascii="Palatino Linotype" w:hAnsi="Palatino Linotype" w:cstheme="majorBidi"/>
          <w:sz w:val="24"/>
          <w:szCs w:val="24"/>
        </w:rPr>
        <w:t>Mandeley</w:t>
      </w:r>
      <w:proofErr w:type="spellEnd"/>
      <w:r w:rsidR="00167804">
        <w:rPr>
          <w:rFonts w:ascii="Palatino Linotype" w:hAnsi="Palatino Linotype" w:cstheme="majorBidi"/>
          <w:sz w:val="24"/>
          <w:szCs w:val="24"/>
          <w:lang w:val="en-US"/>
        </w:rPr>
        <w:t xml:space="preserve"> </w:t>
      </w:r>
      <w:r w:rsidR="00167804" w:rsidRPr="00C3578B">
        <w:rPr>
          <w:rFonts w:ascii="Palatino Linotype" w:hAnsi="Palatino Linotype" w:cstheme="majorBidi"/>
          <w:sz w:val="24"/>
          <w:szCs w:val="24"/>
        </w:rPr>
        <w:t xml:space="preserve">Chicago Manual </w:t>
      </w:r>
      <w:proofErr w:type="spellStart"/>
      <w:r w:rsidR="00167804" w:rsidRPr="00C3578B">
        <w:rPr>
          <w:rFonts w:ascii="Palatino Linotype" w:hAnsi="Palatino Linotype" w:cstheme="majorBidi"/>
          <w:sz w:val="24"/>
          <w:szCs w:val="24"/>
        </w:rPr>
        <w:t>of</w:t>
      </w:r>
      <w:proofErr w:type="spellEnd"/>
      <w:r w:rsidR="00167804" w:rsidRPr="00C3578B">
        <w:rPr>
          <w:rFonts w:ascii="Palatino Linotype" w:hAnsi="Palatino Linotype" w:cstheme="majorBidi"/>
          <w:sz w:val="24"/>
          <w:szCs w:val="24"/>
        </w:rPr>
        <w:t xml:space="preserve"> </w:t>
      </w:r>
      <w:proofErr w:type="spellStart"/>
      <w:r w:rsidR="00167804" w:rsidRPr="00C3578B">
        <w:rPr>
          <w:rFonts w:ascii="Palatino Linotype" w:hAnsi="Palatino Linotype" w:cstheme="majorBidi"/>
          <w:sz w:val="24"/>
          <w:szCs w:val="24"/>
        </w:rPr>
        <w:t>Style</w:t>
      </w:r>
      <w:proofErr w:type="spellEnd"/>
      <w:r w:rsidR="00167804" w:rsidRPr="00C3578B">
        <w:rPr>
          <w:rFonts w:ascii="Palatino Linotype" w:hAnsi="Palatino Linotype" w:cstheme="majorBidi"/>
          <w:sz w:val="24"/>
          <w:szCs w:val="24"/>
        </w:rPr>
        <w:t xml:space="preserve"> (CMS)</w:t>
      </w:r>
      <w:r w:rsidR="00167804" w:rsidRPr="00C3578B">
        <w:rPr>
          <w:rFonts w:ascii="Palatino Linotype" w:hAnsi="Palatino Linotype" w:cstheme="majorBidi"/>
          <w:sz w:val="24"/>
          <w:szCs w:val="24"/>
          <w:lang w:val="en-US"/>
        </w:rPr>
        <w:t xml:space="preserve"> 16</w:t>
      </w:r>
      <w:r w:rsidR="00167804" w:rsidRPr="00C3578B">
        <w:rPr>
          <w:rFonts w:ascii="Palatino Linotype" w:hAnsi="Palatino Linotype" w:cstheme="majorBidi"/>
          <w:sz w:val="24"/>
          <w:szCs w:val="24"/>
          <w:vertAlign w:val="superscript"/>
          <w:lang w:val="en-US"/>
        </w:rPr>
        <w:t>th</w:t>
      </w:r>
      <w:r w:rsidR="00167804" w:rsidRPr="00C3578B">
        <w:rPr>
          <w:rFonts w:ascii="Palatino Linotype" w:hAnsi="Palatino Linotype" w:cstheme="majorBidi"/>
          <w:sz w:val="24"/>
          <w:szCs w:val="24"/>
          <w:lang w:val="en-US"/>
        </w:rPr>
        <w:t xml:space="preserve"> Edition </w:t>
      </w:r>
      <w:r w:rsidR="00167804">
        <w:rPr>
          <w:rFonts w:ascii="Palatino Linotype" w:hAnsi="Palatino Linotype" w:cstheme="majorBidi"/>
          <w:sz w:val="24"/>
          <w:szCs w:val="24"/>
          <w:lang w:val="en-US"/>
        </w:rPr>
        <w:t>(</w:t>
      </w:r>
      <w:r w:rsidR="00167804" w:rsidRPr="00C3578B">
        <w:rPr>
          <w:rFonts w:ascii="Palatino Linotype" w:hAnsi="Palatino Linotype" w:cstheme="majorBidi"/>
          <w:sz w:val="24"/>
          <w:szCs w:val="24"/>
          <w:lang w:val="en-US"/>
        </w:rPr>
        <w:t>full note</w:t>
      </w:r>
      <w:r w:rsidR="00167804">
        <w:rPr>
          <w:rFonts w:ascii="Palatino Linotype" w:hAnsi="Palatino Linotype" w:cstheme="majorBidi"/>
          <w:sz w:val="24"/>
          <w:szCs w:val="24"/>
          <w:lang w:val="en-US"/>
        </w:rPr>
        <w:t>).</w:t>
      </w:r>
    </w:p>
    <w:p w14:paraId="5D4C72DB" w14:textId="77777777" w:rsidR="000232F4" w:rsidRPr="00C3578B" w:rsidRDefault="000232F4" w:rsidP="000232F4">
      <w:pPr>
        <w:spacing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</w:p>
    <w:p w14:paraId="1C5F20D6" w14:textId="66DE9F32" w:rsidR="00C3578B" w:rsidRPr="00167804" w:rsidRDefault="00C3578B" w:rsidP="000232F4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</w:rPr>
      </w:pPr>
      <w:r w:rsidRPr="00167804">
        <w:rPr>
          <w:rFonts w:ascii="Palatino Linotype" w:hAnsi="Palatino Linotype" w:cstheme="majorBidi"/>
          <w:b/>
          <w:bCs/>
          <w:sz w:val="24"/>
          <w:szCs w:val="24"/>
        </w:rPr>
        <w:t xml:space="preserve">Contoh Penulisan </w:t>
      </w:r>
      <w:proofErr w:type="spellStart"/>
      <w:r w:rsidRPr="00167804">
        <w:rPr>
          <w:rFonts w:ascii="Palatino Linotype" w:hAnsi="Palatino Linotype" w:cstheme="majorBidi"/>
          <w:b/>
          <w:bCs/>
          <w:sz w:val="24"/>
          <w:szCs w:val="24"/>
        </w:rPr>
        <w:t>Footnote</w:t>
      </w:r>
      <w:proofErr w:type="spellEnd"/>
    </w:p>
    <w:p w14:paraId="15833D98" w14:textId="77777777" w:rsidR="00C3578B" w:rsidRPr="00167804" w:rsidRDefault="00C3578B" w:rsidP="000232F4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</w:rPr>
      </w:pPr>
    </w:p>
    <w:p w14:paraId="22A80611" w14:textId="40B55DD7" w:rsidR="00C3578B" w:rsidRPr="00167804" w:rsidRDefault="00C3578B" w:rsidP="002C1B14">
      <w:pPr>
        <w:pStyle w:val="FootnoteText"/>
        <w:jc w:val="both"/>
        <w:rPr>
          <w:rFonts w:ascii="Palatino Linotype" w:hAnsi="Palatino Linotype"/>
          <w:sz w:val="24"/>
          <w:szCs w:val="24"/>
          <w:lang w:val="id-ID"/>
        </w:rPr>
      </w:pPr>
      <w:r w:rsidRPr="00167804">
        <w:rPr>
          <w:rFonts w:ascii="Palatino Linotype" w:hAnsi="Palatino Linotype"/>
          <w:sz w:val="24"/>
          <w:szCs w:val="24"/>
          <w:lang w:val="id-ID"/>
        </w:rPr>
        <w:tab/>
      </w:r>
      <w:r w:rsidRPr="00C3578B">
        <w:rPr>
          <w:rFonts w:ascii="Palatino Linotype" w:hAnsi="Palatino Linotype"/>
          <w:sz w:val="24"/>
          <w:szCs w:val="24"/>
        </w:rPr>
        <w:fldChar w:fldCharType="begin" w:fldLock="1"/>
      </w:r>
      <w:r w:rsidRPr="00167804">
        <w:rPr>
          <w:rFonts w:ascii="Palatino Linotype" w:hAnsi="Palatino Linotype"/>
          <w:sz w:val="24"/>
          <w:szCs w:val="24"/>
          <w:lang w:val="id-ID"/>
        </w:rPr>
        <w:instrText>ADDIN CSL_CITATION {"citationItems":[{"id":"ITEM-1","itemData":{"author":[{"dropping-particle":"","family":"Khaldûn","given":"Abd al-Rahmân Ibnu","non-dropping-particle":"","parse-names":false,"suffix":""}],"id":"ITEM-1","issued":{"date-parts":[["1992"]]},"number-of-pages":"484","publisher":"Dâral-Kutubal-‘Ilmiyyah","publisher-place":"Beirut","title":"Muqaddimah li Kitâb al-‘Ibar wa Dîwân al-Mubtadâ wa al-Khabar fi Ayyâm al-‘Arab wa al-‘Ajam wa al-Barbar wa Man ‘Âsharahum min Dzawi alShulthân al-Akbar","type":"book"},"locator":"484","uris":["http://www.mendeley.com/documents/?uuid=bd79e209-b522-4429-8e70-621b2fdb14a7"]}],"mendeley":{"formattedCitation":"Abd al-Rahmân Ibnu Khaldûn, &lt;i&gt;Muqaddimah Li Kitâb Al-‘Ibar Wa Dîwân Al-Mubtadâ Wa Al-Khabar Fi Ayyâm Al-‘Arab Wa Al-‘Ajam Wa Al-Barbar Wa Man ‘Âsharahum Min Dzawi AlShulthân Al-Akbar&lt;/i&gt; (Beirut: Dâral-Kutubal-‘Ilmiyyah, 1992), 484.","plainTextFormattedCitation":"Abd al-Rahmân Ibnu Khaldûn, Muqaddimah Li Kitâb Al-‘Ibar Wa Dîwân Al-Mubtadâ Wa Al-Khabar Fi Ayyâm Al-‘Arab Wa Al-‘Ajam Wa Al-Barbar Wa Man ‘Âsharahum Min Dzawi AlShulthân Al-Akbar (Beirut: Dâral-Kutubal-‘Ilmiyyah, 1992), 484.","previouslyFormattedCitation":"(Khaldûn 1992:484)"},"properties":{"noteIndex":1},"schema":"https://github.com/citation-style-language/schema/raw/master/csl-citation.json"}</w:instrText>
      </w:r>
      <w:r w:rsidRPr="00C3578B">
        <w:rPr>
          <w:rFonts w:ascii="Palatino Linotype" w:hAnsi="Palatino Linotype"/>
          <w:sz w:val="24"/>
          <w:szCs w:val="24"/>
        </w:rPr>
        <w:fldChar w:fldCharType="separate"/>
      </w:r>
      <w:r w:rsidRPr="00167804">
        <w:rPr>
          <w:rFonts w:ascii="Palatino Linotype" w:hAnsi="Palatino Linotype"/>
          <w:noProof/>
          <w:sz w:val="24"/>
          <w:szCs w:val="24"/>
          <w:lang w:val="id-ID"/>
        </w:rPr>
        <w:t xml:space="preserve">Abd al-Rahmân Ibnu Khaldûn, </w:t>
      </w:r>
      <w:r w:rsidRPr="00167804">
        <w:rPr>
          <w:rFonts w:ascii="Palatino Linotype" w:hAnsi="Palatino Linotype"/>
          <w:i/>
          <w:noProof/>
          <w:sz w:val="24"/>
          <w:szCs w:val="24"/>
          <w:lang w:val="id-ID"/>
        </w:rPr>
        <w:t xml:space="preserve">Muqaddimah Li Kitâb Al-‘Ibar Wa Dîwân Al-Mubtadâ Wa Al-Khabar Fi Ayyâm Al-‘Arab Wa Al-‘Ajam Wa Al-Barbar Wa Man </w:t>
      </w:r>
      <w:r w:rsidRPr="00167804">
        <w:rPr>
          <w:rFonts w:ascii="Palatino Linotype" w:hAnsi="Palatino Linotype"/>
          <w:i/>
          <w:noProof/>
          <w:sz w:val="24"/>
          <w:szCs w:val="24"/>
          <w:lang w:val="id-ID"/>
        </w:rPr>
        <w:lastRenderedPageBreak/>
        <w:t>‘Âsharahum Min Dzawi AlShulthân Al-Akbar</w:t>
      </w:r>
      <w:r w:rsidRPr="00167804">
        <w:rPr>
          <w:rFonts w:ascii="Palatino Linotype" w:hAnsi="Palatino Linotype"/>
          <w:noProof/>
          <w:sz w:val="24"/>
          <w:szCs w:val="24"/>
          <w:lang w:val="id-ID"/>
        </w:rPr>
        <w:t xml:space="preserve"> (Beirut: Dâral-Kutubal-‘Ilmiyyah, 1992), 484.</w:t>
      </w:r>
      <w:r w:rsidRPr="00C3578B">
        <w:rPr>
          <w:rFonts w:ascii="Palatino Linotype" w:hAnsi="Palatino Linotype"/>
          <w:sz w:val="24"/>
          <w:szCs w:val="24"/>
        </w:rPr>
        <w:fldChar w:fldCharType="end"/>
      </w:r>
    </w:p>
    <w:p w14:paraId="22FD887A" w14:textId="08416718" w:rsidR="00C3578B" w:rsidRPr="00C3578B" w:rsidRDefault="00C3578B" w:rsidP="002C1B14">
      <w:pPr>
        <w:pStyle w:val="FootnoteText"/>
        <w:jc w:val="both"/>
        <w:rPr>
          <w:rFonts w:ascii="Palatino Linotype" w:hAnsi="Palatino Linotype"/>
          <w:sz w:val="24"/>
          <w:szCs w:val="24"/>
        </w:rPr>
      </w:pPr>
      <w:r w:rsidRPr="00167804">
        <w:rPr>
          <w:rFonts w:ascii="Palatino Linotype" w:hAnsi="Palatino Linotype"/>
          <w:sz w:val="24"/>
          <w:szCs w:val="24"/>
          <w:lang w:val="id-ID"/>
        </w:rPr>
        <w:tab/>
      </w:r>
      <w:r w:rsidRPr="00C3578B">
        <w:rPr>
          <w:rFonts w:ascii="Palatino Linotype" w:hAnsi="Palatino Linotype"/>
          <w:sz w:val="24"/>
          <w:szCs w:val="24"/>
        </w:rPr>
        <w:fldChar w:fldCharType="begin" w:fldLock="1"/>
      </w:r>
      <w:r w:rsidRPr="00C3578B">
        <w:rPr>
          <w:rFonts w:ascii="Palatino Linotype" w:hAnsi="Palatino Linotype"/>
          <w:sz w:val="24"/>
          <w:szCs w:val="24"/>
        </w:rPr>
        <w:instrText>ADDIN CSL_CITATION {"citationItems":[{"id":"ITEM-1","itemData":{"author":[{"dropping-particle":"","family":"Zahid","given":"Moh.","non-dropping-particle":"","parse-names":false,"suffix":""}],"container-title":"Jurnal al-Ihkam","id":"ITEM-1","issue":"1","issued":{"date-parts":[["2006"]]},"page":"61","title":"Perpaduan Hukum Islam dan Hukum Adat (Upaya Merumuskan Hukum Islam Berkepribadian Indonesia)","type":"article-journal","volume":"1"},"locator":"61","uris":["http://www.mendeley.com/documents/?uuid=33f8dbfb-188f-4f82-8c5b-d720e4ba022c"]}],"mendeley":{"formattedCitation":"Moh. Zahid, “Perpaduan Hukum Islam Dan Hukum Adat (Upaya Merumuskan Hukum Islam Berkepribadian Indonesia),” &lt;i&gt;Jurnal Al-Ihkam&lt;/i&gt; 1, no. 1 (2006): 61.","plainTextFormattedCitation":"Moh. Zahid, “Perpaduan Hukum Islam Dan Hukum Adat (Upaya Merumuskan Hukum Islam Berkepribadian Indonesia),” Jurnal Al-Ihkam 1, no. 1 (2006): 61.","previouslyFormattedCitation":"(Zahid 2006:61)"},"properties":{"noteIndex":2},"schema":"https://github.com/citation-style-language/schema/raw/master/csl-citation.json"}</w:instrText>
      </w:r>
      <w:r w:rsidRPr="00C3578B">
        <w:rPr>
          <w:rFonts w:ascii="Palatino Linotype" w:hAnsi="Palatino Linotype"/>
          <w:sz w:val="24"/>
          <w:szCs w:val="24"/>
        </w:rPr>
        <w:fldChar w:fldCharType="separate"/>
      </w:r>
      <w:r w:rsidRPr="00C3578B">
        <w:rPr>
          <w:rFonts w:ascii="Palatino Linotype" w:hAnsi="Palatino Linotype"/>
          <w:noProof/>
          <w:sz w:val="24"/>
          <w:szCs w:val="24"/>
        </w:rPr>
        <w:t xml:space="preserve">Moh. Zahid, “Perpaduan Hukum Islam Dan Hukum Adat (Upaya Merumuskan Hukum Islam Berkepribadian Indonesia),” </w:t>
      </w:r>
      <w:r w:rsidRPr="00C3578B">
        <w:rPr>
          <w:rFonts w:ascii="Palatino Linotype" w:hAnsi="Palatino Linotype"/>
          <w:i/>
          <w:noProof/>
          <w:sz w:val="24"/>
          <w:szCs w:val="24"/>
        </w:rPr>
        <w:t>Jurnal Al-Ihkam</w:t>
      </w:r>
      <w:r w:rsidRPr="00C3578B">
        <w:rPr>
          <w:rFonts w:ascii="Palatino Linotype" w:hAnsi="Palatino Linotype"/>
          <w:noProof/>
          <w:sz w:val="24"/>
          <w:szCs w:val="24"/>
        </w:rPr>
        <w:t xml:space="preserve"> 1, no. 1 (2006): 61.</w:t>
      </w:r>
      <w:r w:rsidRPr="00C3578B">
        <w:rPr>
          <w:rFonts w:ascii="Palatino Linotype" w:hAnsi="Palatino Linotype"/>
          <w:sz w:val="24"/>
          <w:szCs w:val="24"/>
        </w:rPr>
        <w:fldChar w:fldCharType="end"/>
      </w:r>
    </w:p>
    <w:p w14:paraId="7369830A" w14:textId="4AF5F12F" w:rsidR="00C3578B" w:rsidRPr="00C3578B" w:rsidRDefault="00C3578B" w:rsidP="002C1B14">
      <w:pPr>
        <w:pStyle w:val="FootnoteText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C3578B">
        <w:rPr>
          <w:rFonts w:ascii="Palatino Linotype" w:hAnsi="Palatino Linotype"/>
          <w:sz w:val="24"/>
          <w:szCs w:val="24"/>
        </w:rPr>
        <w:fldChar w:fldCharType="begin" w:fldLock="1"/>
      </w:r>
      <w:r w:rsidRPr="00C3578B">
        <w:rPr>
          <w:rFonts w:ascii="Palatino Linotype" w:hAnsi="Palatino Linotype"/>
          <w:sz w:val="24"/>
          <w:szCs w:val="24"/>
        </w:rPr>
        <w:instrText>ADDIN CSL_CITATION {"citationItems":[{"id":"ITEM-1","itemData":{"author":[{"dropping-particle":"","family":"Al-Qarafi","given":"Abu al-Abbas Ahmad","non-dropping-particle":"","parse-names":false,"suffix":""},{"dropping-particle":"","family":"Idris","given":"Ibn","non-dropping-particle":"","parse-names":false,"suffix":""}],"id":"ITEM-1","issued":{"date-parts":[["1998"]]},"number-of-pages":"49","publisher":"Dar al-Kutub al-Arabiyah","publisher-place":"Kairo","title":"Al-Furuq wa Anwar al-Buruq fi Anwa</w:instrText>
      </w:r>
      <w:r w:rsidRPr="00C3578B">
        <w:rPr>
          <w:rFonts w:ascii="Times New Roman" w:hAnsi="Times New Roman" w:cs="Times New Roman"/>
          <w:sz w:val="24"/>
          <w:szCs w:val="24"/>
        </w:rPr>
        <w:instrText>‟</w:instrText>
      </w:r>
      <w:r w:rsidRPr="00C3578B">
        <w:rPr>
          <w:rFonts w:ascii="Palatino Linotype" w:hAnsi="Palatino Linotype"/>
          <w:sz w:val="24"/>
          <w:szCs w:val="24"/>
        </w:rPr>
        <w:instrText xml:space="preserve"> al-Furuq","type":"book"},"locator":"49","uris":["http://www.mendeley.com/documents/?uuid=dcd62674-520b-4624-bdf0-45eb9b610f77"]}],"mendeley":{"formattedCitation":"Abu al-Abbas Ahmad Al-Qarafi and Ibn Idris, &lt;i&gt;Al-Furuq Wa Anwar Al-Buruq Fi Anwa</w:instrText>
      </w:r>
      <w:r w:rsidRPr="00C3578B">
        <w:rPr>
          <w:rFonts w:ascii="Times New Roman" w:hAnsi="Times New Roman" w:cs="Times New Roman"/>
          <w:sz w:val="24"/>
          <w:szCs w:val="24"/>
        </w:rPr>
        <w:instrText>‟</w:instrText>
      </w:r>
      <w:r w:rsidRPr="00C3578B">
        <w:rPr>
          <w:rFonts w:ascii="Palatino Linotype" w:hAnsi="Palatino Linotype"/>
          <w:sz w:val="24"/>
          <w:szCs w:val="24"/>
        </w:rPr>
        <w:instrText xml:space="preserve"> Al-Furuq&lt;/i&gt; (Kairo: Dar al-Kutub al-Arabiyah, 1998), 49.","plainTextFormattedCitation":"Abu al-Abbas Ahmad Al-Qarafi and Ibn Idris, Al-Furuq Wa Anwar Al-Buruq Fi Anwa</w:instrText>
      </w:r>
      <w:r w:rsidRPr="00C3578B">
        <w:rPr>
          <w:rFonts w:ascii="Times New Roman" w:hAnsi="Times New Roman" w:cs="Times New Roman"/>
          <w:sz w:val="24"/>
          <w:szCs w:val="24"/>
        </w:rPr>
        <w:instrText>‟</w:instrText>
      </w:r>
      <w:r w:rsidRPr="00C3578B">
        <w:rPr>
          <w:rFonts w:ascii="Palatino Linotype" w:hAnsi="Palatino Linotype"/>
          <w:sz w:val="24"/>
          <w:szCs w:val="24"/>
        </w:rPr>
        <w:instrText xml:space="preserve"> Al-Furuq (Kairo: Dar al-Kutub al-Arabiyah, 1998), 49.","previouslyFormattedCitation":"(Al-Qarafi and Idris 1998:49)"},"properties":{"noteIndex":3},"schema":"https://github.com/citation-style-language/schema/raw/master/csl-citation.json"}</w:instrText>
      </w:r>
      <w:r w:rsidRPr="00C3578B">
        <w:rPr>
          <w:rFonts w:ascii="Palatino Linotype" w:hAnsi="Palatino Linotype"/>
          <w:sz w:val="24"/>
          <w:szCs w:val="24"/>
        </w:rPr>
        <w:fldChar w:fldCharType="separate"/>
      </w:r>
      <w:r w:rsidRPr="00C3578B">
        <w:rPr>
          <w:rFonts w:ascii="Palatino Linotype" w:hAnsi="Palatino Linotype"/>
          <w:noProof/>
          <w:sz w:val="24"/>
          <w:szCs w:val="24"/>
        </w:rPr>
        <w:t xml:space="preserve">Abu al-Abbas Ahmad Al-Qarafi and Ibn Idris, </w:t>
      </w:r>
      <w:r w:rsidRPr="00C3578B">
        <w:rPr>
          <w:rFonts w:ascii="Palatino Linotype" w:hAnsi="Palatino Linotype"/>
          <w:i/>
          <w:noProof/>
          <w:sz w:val="24"/>
          <w:szCs w:val="24"/>
        </w:rPr>
        <w:t>Al-Furuq Wa Anwar Al-Buruq Fi Anwa</w:t>
      </w:r>
      <w:r w:rsidRPr="00C3578B">
        <w:rPr>
          <w:rFonts w:ascii="Times New Roman" w:hAnsi="Times New Roman" w:cs="Times New Roman"/>
          <w:i/>
          <w:noProof/>
          <w:sz w:val="24"/>
          <w:szCs w:val="24"/>
        </w:rPr>
        <w:t>‟</w:t>
      </w:r>
      <w:r w:rsidRPr="00C3578B">
        <w:rPr>
          <w:rFonts w:ascii="Palatino Linotype" w:hAnsi="Palatino Linotype"/>
          <w:i/>
          <w:noProof/>
          <w:sz w:val="24"/>
          <w:szCs w:val="24"/>
        </w:rPr>
        <w:t xml:space="preserve"> Al-Furuq</w:t>
      </w:r>
      <w:r w:rsidRPr="00C3578B">
        <w:rPr>
          <w:rFonts w:ascii="Palatino Linotype" w:hAnsi="Palatino Linotype"/>
          <w:noProof/>
          <w:sz w:val="24"/>
          <w:szCs w:val="24"/>
        </w:rPr>
        <w:t xml:space="preserve"> (Kairo: Dar al-Kutub al-Arabiyah, 1998), 49.</w:t>
      </w:r>
      <w:r w:rsidRPr="00C3578B">
        <w:rPr>
          <w:rFonts w:ascii="Palatino Linotype" w:hAnsi="Palatino Linotype"/>
          <w:sz w:val="24"/>
          <w:szCs w:val="24"/>
        </w:rPr>
        <w:fldChar w:fldCharType="end"/>
      </w:r>
    </w:p>
    <w:p w14:paraId="31D504DB" w14:textId="10D00EC8" w:rsidR="00C3578B" w:rsidRPr="00C3578B" w:rsidRDefault="00C3578B" w:rsidP="002C1B14">
      <w:pPr>
        <w:pStyle w:val="FootnoteText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C3578B">
        <w:rPr>
          <w:rFonts w:ascii="Palatino Linotype" w:hAnsi="Palatino Linotype"/>
          <w:sz w:val="24"/>
          <w:szCs w:val="24"/>
        </w:rPr>
        <w:fldChar w:fldCharType="begin" w:fldLock="1"/>
      </w:r>
      <w:r w:rsidRPr="00C3578B">
        <w:rPr>
          <w:rFonts w:ascii="Palatino Linotype" w:hAnsi="Palatino Linotype"/>
          <w:sz w:val="24"/>
          <w:szCs w:val="24"/>
        </w:rPr>
        <w:instrText>ADDIN CSL_CITATION {"citationItems":[{"id":"ITEM-1","itemData":{"author":[{"dropping-particle":"","family":"Peters","given":"F.E.","non-dropping-particle":"","parse-names":false,"suffix":""}],"id":"ITEM-1","issued":{"date-parts":[["1995"]]},"number-of-pages":"105","publisher":"Oxford University Press","publisher-place":"New York","title":"Muhammad and The Origin Of Islam","type":"book"},"locator":"105","uris":["http://www.mendeley.com/documents/?uuid=916f0d40-b315-485e-9911-68e79303577d"]}],"mendeley":{"formattedCitation":"F.E. Peters, &lt;i&gt;Muhammad and The Origin Of Islam&lt;/i&gt; (New York: Oxford University Press, 1995), 105.","plainTextFormattedCitation":"F.E. Peters, Muhammad and The Origin Of Islam (New York: Oxford University Press, 1995), 105.","previouslyFormattedCitation":"(Peters 1995:105)"},"properties":{"noteIndex":4},"schema":"https://github.com/citation-style-language/schema/raw/master/csl-citation.json"}</w:instrText>
      </w:r>
      <w:r w:rsidRPr="00C3578B">
        <w:rPr>
          <w:rFonts w:ascii="Palatino Linotype" w:hAnsi="Palatino Linotype"/>
          <w:sz w:val="24"/>
          <w:szCs w:val="24"/>
        </w:rPr>
        <w:fldChar w:fldCharType="separate"/>
      </w:r>
      <w:r w:rsidRPr="00C3578B">
        <w:rPr>
          <w:rFonts w:ascii="Palatino Linotype" w:hAnsi="Palatino Linotype"/>
          <w:noProof/>
          <w:sz w:val="24"/>
          <w:szCs w:val="24"/>
        </w:rPr>
        <w:t xml:space="preserve">F.E. Peters, </w:t>
      </w:r>
      <w:r w:rsidRPr="00C3578B">
        <w:rPr>
          <w:rFonts w:ascii="Palatino Linotype" w:hAnsi="Palatino Linotype"/>
          <w:i/>
          <w:noProof/>
          <w:sz w:val="24"/>
          <w:szCs w:val="24"/>
        </w:rPr>
        <w:t>Muhammad and The Origin Of Islam</w:t>
      </w:r>
      <w:r w:rsidRPr="00C3578B">
        <w:rPr>
          <w:rFonts w:ascii="Palatino Linotype" w:hAnsi="Palatino Linotype"/>
          <w:noProof/>
          <w:sz w:val="24"/>
          <w:szCs w:val="24"/>
        </w:rPr>
        <w:t xml:space="preserve"> (New York: Oxford University Press, 1995), 105.</w:t>
      </w:r>
      <w:r w:rsidRPr="00C3578B">
        <w:rPr>
          <w:rFonts w:ascii="Palatino Linotype" w:hAnsi="Palatino Linotype"/>
          <w:sz w:val="24"/>
          <w:szCs w:val="24"/>
        </w:rPr>
        <w:fldChar w:fldCharType="end"/>
      </w:r>
    </w:p>
    <w:p w14:paraId="54280087" w14:textId="7213DA78" w:rsidR="00C3578B" w:rsidRPr="00C3578B" w:rsidRDefault="00C3578B" w:rsidP="002C1B14">
      <w:pPr>
        <w:pStyle w:val="FootnoteText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C3578B">
        <w:rPr>
          <w:rFonts w:ascii="Palatino Linotype" w:hAnsi="Palatino Linotype"/>
          <w:sz w:val="24"/>
          <w:szCs w:val="24"/>
        </w:rPr>
        <w:fldChar w:fldCharType="begin" w:fldLock="1"/>
      </w:r>
      <w:r w:rsidRPr="00C3578B">
        <w:rPr>
          <w:rFonts w:ascii="Palatino Linotype" w:hAnsi="Palatino Linotype"/>
          <w:sz w:val="24"/>
          <w:szCs w:val="24"/>
        </w:rPr>
        <w:instrText>ADDIN CSL_CITATION {"citationItems":[{"id":"ITEM-1","itemData":{"author":[{"dropping-particle":"","family":"Azra","given":"Azyumardi","non-dropping-particle":"","parse-names":false,"suffix":""}],"editor":[{"dropping-particle":"","family":"Thaha","given":"Idris","non-dropping-particle":"","parse-names":false,"suffix":""}],"id":"ITEM-1","issued":{"date-parts":[["2002"]]},"number-of-pages":"209","publisher":"Kompas","publisher-place":"Jakarta","title":"Reposisi Hubungan Agama dan Negara: Merajut Kerukunan Antarumat","type":"book"},"locator":"209","uris":["http://www.mendeley.com/documents/?uuid=21df4f23-0994-4fb7-9f81-5210e67b0400"]}],"mendeley":{"formattedCitation":"Azyumardi Azra, &lt;i&gt;Reposisi Hubungan Agama Dan Negara: Merajut Kerukunan Antarumat&lt;/i&gt;, ed. Idris Thaha (Jakarta: Kompas, 2002), 209.","plainTextFormattedCitation":"Azyumardi Azra, Reposisi Hubungan Agama Dan Negara: Merajut Kerukunan Antarumat, ed. Idris Thaha (Jakarta: Kompas, 2002), 209.","previouslyFormattedCitation":"(Azra 2002:209)"},"properties":{"noteIndex":5},"schema":"https://github.com/citation-style-language/schema/raw/master/csl-citation.json"}</w:instrText>
      </w:r>
      <w:r w:rsidRPr="00C3578B">
        <w:rPr>
          <w:rFonts w:ascii="Palatino Linotype" w:hAnsi="Palatino Linotype"/>
          <w:sz w:val="24"/>
          <w:szCs w:val="24"/>
        </w:rPr>
        <w:fldChar w:fldCharType="separate"/>
      </w:r>
      <w:r w:rsidRPr="00C3578B">
        <w:rPr>
          <w:rFonts w:ascii="Palatino Linotype" w:hAnsi="Palatino Linotype"/>
          <w:noProof/>
          <w:sz w:val="24"/>
          <w:szCs w:val="24"/>
        </w:rPr>
        <w:t xml:space="preserve">Azyumardi Azra, </w:t>
      </w:r>
      <w:r w:rsidRPr="00C3578B">
        <w:rPr>
          <w:rFonts w:ascii="Palatino Linotype" w:hAnsi="Palatino Linotype"/>
          <w:i/>
          <w:noProof/>
          <w:sz w:val="24"/>
          <w:szCs w:val="24"/>
        </w:rPr>
        <w:t>Reposisi Hubungan Agama Dan Negara: Merajut Kerukunan Antarumat</w:t>
      </w:r>
      <w:r w:rsidRPr="00C3578B">
        <w:rPr>
          <w:rFonts w:ascii="Palatino Linotype" w:hAnsi="Palatino Linotype"/>
          <w:noProof/>
          <w:sz w:val="24"/>
          <w:szCs w:val="24"/>
        </w:rPr>
        <w:t>, ed. Idris Thaha (Jakarta: Kompas, 2002), 209.</w:t>
      </w:r>
      <w:r w:rsidRPr="00C3578B">
        <w:rPr>
          <w:rFonts w:ascii="Palatino Linotype" w:hAnsi="Palatino Linotype"/>
          <w:sz w:val="24"/>
          <w:szCs w:val="24"/>
        </w:rPr>
        <w:fldChar w:fldCharType="end"/>
      </w:r>
    </w:p>
    <w:p w14:paraId="1DA91303" w14:textId="39506B65" w:rsidR="00C3578B" w:rsidRPr="00C3578B" w:rsidRDefault="00C3578B" w:rsidP="002C1B14">
      <w:pPr>
        <w:pStyle w:val="FootnoteText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C3578B">
        <w:rPr>
          <w:rFonts w:ascii="Palatino Linotype" w:hAnsi="Palatino Linotype"/>
          <w:sz w:val="24"/>
          <w:szCs w:val="24"/>
        </w:rPr>
        <w:fldChar w:fldCharType="begin" w:fldLock="1"/>
      </w:r>
      <w:r w:rsidRPr="00C3578B">
        <w:rPr>
          <w:rFonts w:ascii="Palatino Linotype" w:hAnsi="Palatino Linotype"/>
          <w:sz w:val="24"/>
          <w:szCs w:val="24"/>
        </w:rPr>
        <w:instrText>ADDIN CSL_CITATION {"citationItems":[{"id":"ITEM-1","itemData":{"author":[{"dropping-particle":"","family":"Saeed","given":"Abdullah","non-dropping-particle":"","parse-names":false,"suffix":""}],"editor":[{"dropping-particle":"","family":"Ervan Nur Tawab dan Ahmad Baikuni","given":"","non-dropping-particle":"","parse-names":false,"suffix":""}],"id":"ITEM-1","issued":{"date-parts":[["2016"]]},"number-of-pages":"294","publisher":"Mizan","publisher-place":"Bandung","title":"Al-Qur'an Abad 21: Tafsir Kontekstual","type":"book"},"locator":"294","uris":["http://www.mendeley.com/documents/?uuid=f147d472-f30f-481a-b37e-ea2b83aeab13"]}],"mendeley":{"formattedCitation":"Abdullah Saeed, &lt;i&gt;Al-Qur’an Abad 21: Tafsir Kontekstual&lt;/i&gt;, ed. Ervan Nur Tawab dan Ahmad Baikuni (Bandung: Mizan, 2016), 294.","plainTextFormattedCitation":"Abdullah Saeed, Al-Qur’an Abad 21: Tafsir Kontekstual, ed. Ervan Nur Tawab dan Ahmad Baikuni (Bandung: Mizan, 2016), 294.","previouslyFormattedCitation":"(Saeed 2016:294)"},"properties":{"noteIndex":6},"schema":"https://github.com/citation-style-language/schema/raw/master/csl-citation.json"}</w:instrText>
      </w:r>
      <w:r w:rsidRPr="00C3578B">
        <w:rPr>
          <w:rFonts w:ascii="Palatino Linotype" w:hAnsi="Palatino Linotype"/>
          <w:sz w:val="24"/>
          <w:szCs w:val="24"/>
        </w:rPr>
        <w:fldChar w:fldCharType="separate"/>
      </w:r>
      <w:r w:rsidRPr="00C3578B">
        <w:rPr>
          <w:rFonts w:ascii="Palatino Linotype" w:hAnsi="Palatino Linotype"/>
          <w:noProof/>
          <w:sz w:val="24"/>
          <w:szCs w:val="24"/>
        </w:rPr>
        <w:t xml:space="preserve">Abdullah Saeed, </w:t>
      </w:r>
      <w:r w:rsidRPr="00C3578B">
        <w:rPr>
          <w:rFonts w:ascii="Palatino Linotype" w:hAnsi="Palatino Linotype"/>
          <w:i/>
          <w:noProof/>
          <w:sz w:val="24"/>
          <w:szCs w:val="24"/>
        </w:rPr>
        <w:t>Al-Qur’an Abad 21: Tafsir Kontekstual</w:t>
      </w:r>
      <w:r w:rsidRPr="00C3578B">
        <w:rPr>
          <w:rFonts w:ascii="Palatino Linotype" w:hAnsi="Palatino Linotype"/>
          <w:noProof/>
          <w:sz w:val="24"/>
          <w:szCs w:val="24"/>
        </w:rPr>
        <w:t>, ed. Ervan Nur Tawab dan Ahmad Baikuni (Bandung: Mizan, 2016), 294.</w:t>
      </w:r>
      <w:r w:rsidRPr="00C3578B">
        <w:rPr>
          <w:rFonts w:ascii="Palatino Linotype" w:hAnsi="Palatino Linotype"/>
          <w:sz w:val="24"/>
          <w:szCs w:val="24"/>
        </w:rPr>
        <w:fldChar w:fldCharType="end"/>
      </w:r>
    </w:p>
    <w:p w14:paraId="7A4B1701" w14:textId="5786425F" w:rsidR="00C3578B" w:rsidRPr="00C3578B" w:rsidRDefault="00C3578B" w:rsidP="002C1B14">
      <w:pPr>
        <w:pStyle w:val="FootnoteText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C3578B">
        <w:rPr>
          <w:rFonts w:ascii="Palatino Linotype" w:hAnsi="Palatino Linotype"/>
          <w:sz w:val="24"/>
          <w:szCs w:val="24"/>
        </w:rPr>
        <w:fldChar w:fldCharType="begin" w:fldLock="1"/>
      </w:r>
      <w:r w:rsidRPr="00C3578B">
        <w:rPr>
          <w:rFonts w:ascii="Palatino Linotype" w:hAnsi="Palatino Linotype"/>
          <w:sz w:val="24"/>
          <w:szCs w:val="24"/>
        </w:rPr>
        <w:instrText>ADDIN CSL_CITATION {"citationItems":[{"id":"ITEM-1","itemData":{"author":[{"dropping-particle":"","family":"Kuntowijoyo","given":"","non-dropping-particle":"","parse-names":false,"suffix":""}],"id":"ITEM-1","issued":{"date-parts":[["2001"]]},"number-of-pages":"196","publisher":"Mizan","publisher-place":"Bandung","title":"Muslim Tanpa Masjid, Essai-Essai Agama, Budaya, dan Politik dalam Bingkai Strukturalisme Transendental","type":"book"},"locator":"196","uris":["http://www.mendeley.com/documents/?uuid=8d86e78f-473d-43ba-8ac4-df39098f7df6"]}],"mendeley":{"formattedCitation":"Kuntowijoyo, &lt;i&gt;Muslim Tanpa Masjid, Essai-Essai Agama, Budaya, Dan Politik Dalam Bingkai Strukturalisme Transendental&lt;/i&gt; (Bandung: Mizan, 2001), 196.","plainTextFormattedCitation":"Kuntowijoyo, Muslim Tanpa Masjid, Essai-Essai Agama, Budaya, Dan Politik Dalam Bingkai Strukturalisme Transendental (Bandung: Mizan, 2001), 196.","previouslyFormattedCitation":"(Kuntowijoyo 2001:196)"},"properties":{"noteIndex":7},"schema":"https://github.com/citation-style-language/schema/raw/master/csl-citation.json"}</w:instrText>
      </w:r>
      <w:r w:rsidRPr="00C3578B">
        <w:rPr>
          <w:rFonts w:ascii="Palatino Linotype" w:hAnsi="Palatino Linotype"/>
          <w:sz w:val="24"/>
          <w:szCs w:val="24"/>
        </w:rPr>
        <w:fldChar w:fldCharType="separate"/>
      </w:r>
      <w:r w:rsidRPr="00C3578B">
        <w:rPr>
          <w:rFonts w:ascii="Palatino Linotype" w:hAnsi="Palatino Linotype"/>
          <w:noProof/>
          <w:sz w:val="24"/>
          <w:szCs w:val="24"/>
        </w:rPr>
        <w:t xml:space="preserve">Kuntowijoyo, </w:t>
      </w:r>
      <w:r w:rsidRPr="00C3578B">
        <w:rPr>
          <w:rFonts w:ascii="Palatino Linotype" w:hAnsi="Palatino Linotype"/>
          <w:i/>
          <w:noProof/>
          <w:sz w:val="24"/>
          <w:szCs w:val="24"/>
        </w:rPr>
        <w:t>Muslim Tanpa Masjid, Essai-Essai Agama, Budaya, Dan Politik Dalam Bingkai Strukturalisme Transendental</w:t>
      </w:r>
      <w:r w:rsidRPr="00C3578B">
        <w:rPr>
          <w:rFonts w:ascii="Palatino Linotype" w:hAnsi="Palatino Linotype"/>
          <w:noProof/>
          <w:sz w:val="24"/>
          <w:szCs w:val="24"/>
        </w:rPr>
        <w:t xml:space="preserve"> (Bandung: Mizan, 2001), 196.</w:t>
      </w:r>
      <w:r w:rsidRPr="00C3578B">
        <w:rPr>
          <w:rFonts w:ascii="Palatino Linotype" w:hAnsi="Palatino Linotype"/>
          <w:sz w:val="24"/>
          <w:szCs w:val="24"/>
        </w:rPr>
        <w:fldChar w:fldCharType="end"/>
      </w:r>
    </w:p>
    <w:p w14:paraId="058E3D19" w14:textId="77777777" w:rsidR="00C3578B" w:rsidRPr="00C3578B" w:rsidRDefault="00C3578B" w:rsidP="000232F4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  <w:lang w:val="en-US"/>
        </w:rPr>
      </w:pPr>
    </w:p>
    <w:p w14:paraId="58DF2295" w14:textId="77777777" w:rsidR="000232F4" w:rsidRPr="00C3578B" w:rsidRDefault="000232F4" w:rsidP="000232F4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  <w:lang w:val="en-US"/>
        </w:rPr>
      </w:pPr>
      <w:r w:rsidRPr="00C3578B">
        <w:rPr>
          <w:rFonts w:ascii="Palatino Linotype" w:hAnsi="Palatino Linotype" w:cstheme="majorBidi"/>
          <w:b/>
          <w:bCs/>
          <w:sz w:val="24"/>
          <w:szCs w:val="24"/>
        </w:rPr>
        <w:t>Contoh Penulisan Daftar Pustaka</w:t>
      </w:r>
    </w:p>
    <w:p w14:paraId="3C2BA646" w14:textId="77777777" w:rsidR="00C3578B" w:rsidRPr="00C3578B" w:rsidRDefault="00C3578B" w:rsidP="000232F4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4"/>
          <w:szCs w:val="24"/>
          <w:lang w:val="en-US"/>
        </w:rPr>
      </w:pPr>
    </w:p>
    <w:p w14:paraId="3C408EE0" w14:textId="77777777" w:rsidR="00C3578B" w:rsidRPr="00C3578B" w:rsidRDefault="00C3578B" w:rsidP="002C1B1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Palatino Linotype" w:hAnsi="Palatino Linotype" w:cs="Times New Roman"/>
          <w:noProof/>
          <w:sz w:val="24"/>
          <w:szCs w:val="24"/>
        </w:rPr>
      </w:pPr>
      <w:r w:rsidRPr="00C3578B">
        <w:rPr>
          <w:rFonts w:ascii="Palatino Linotype" w:hAnsi="Palatino Linotype" w:cs="Times New Roman"/>
          <w:noProof/>
          <w:sz w:val="24"/>
          <w:szCs w:val="24"/>
        </w:rPr>
        <w:t xml:space="preserve">Al-Humaidy, M. Ali. “Tradisi Mauludan: Pemaknaan Kontekstual Ritual Agama Masyarakat Pamekasan.” </w:t>
      </w:r>
      <w:r w:rsidRPr="00C3578B">
        <w:rPr>
          <w:rFonts w:ascii="Palatino Linotype" w:hAnsi="Palatino Linotype" w:cs="Times New Roman"/>
          <w:i/>
          <w:iCs/>
          <w:noProof/>
          <w:sz w:val="24"/>
          <w:szCs w:val="24"/>
        </w:rPr>
        <w:t>ISTIQRO</w:t>
      </w:r>
      <w:r w:rsidRPr="00C3578B">
        <w:rPr>
          <w:rFonts w:ascii="Palatino Linotype" w:hAnsi="Palatino Linotype" w:cs="Times New Roman"/>
          <w:noProof/>
          <w:sz w:val="24"/>
          <w:szCs w:val="24"/>
        </w:rPr>
        <w:t xml:space="preserve"> 6, no. 1 (2017): 76–84.</w:t>
      </w:r>
    </w:p>
    <w:p w14:paraId="13B60005" w14:textId="77777777" w:rsidR="00C3578B" w:rsidRPr="00C3578B" w:rsidRDefault="00C3578B" w:rsidP="002C1B1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Palatino Linotype" w:hAnsi="Palatino Linotype" w:cs="Times New Roman"/>
          <w:noProof/>
          <w:sz w:val="24"/>
          <w:szCs w:val="24"/>
        </w:rPr>
      </w:pPr>
      <w:r w:rsidRPr="00C3578B">
        <w:rPr>
          <w:rFonts w:ascii="Palatino Linotype" w:hAnsi="Palatino Linotype" w:cs="Times New Roman"/>
          <w:noProof/>
          <w:sz w:val="24"/>
          <w:szCs w:val="24"/>
        </w:rPr>
        <w:t xml:space="preserve">Al-Qarafi, Abu al-Abbas Ahmad, and Ibn Idris. </w:t>
      </w:r>
      <w:r w:rsidRPr="00C3578B">
        <w:rPr>
          <w:rFonts w:ascii="Palatino Linotype" w:hAnsi="Palatino Linotype" w:cs="Times New Roman"/>
          <w:i/>
          <w:iCs/>
          <w:noProof/>
          <w:sz w:val="24"/>
          <w:szCs w:val="24"/>
        </w:rPr>
        <w:t>Al-Furuq Wa Anwar Al-Buruq Fi Anwa</w:t>
      </w:r>
      <w:r w:rsidRPr="00C3578B">
        <w:rPr>
          <w:rFonts w:ascii="Times New Roman" w:hAnsi="Times New Roman" w:cs="Times New Roman"/>
          <w:i/>
          <w:iCs/>
          <w:noProof/>
          <w:sz w:val="24"/>
          <w:szCs w:val="24"/>
        </w:rPr>
        <w:t>‟</w:t>
      </w:r>
      <w:r w:rsidRPr="00C3578B">
        <w:rPr>
          <w:rFonts w:ascii="Palatino Linotype" w:hAnsi="Palatino Linotype" w:cs="Times New Roman"/>
          <w:i/>
          <w:iCs/>
          <w:noProof/>
          <w:sz w:val="24"/>
          <w:szCs w:val="24"/>
        </w:rPr>
        <w:t xml:space="preserve"> Al-Furuq</w:t>
      </w:r>
      <w:r w:rsidRPr="00C3578B">
        <w:rPr>
          <w:rFonts w:ascii="Palatino Linotype" w:hAnsi="Palatino Linotype" w:cs="Times New Roman"/>
          <w:noProof/>
          <w:sz w:val="24"/>
          <w:szCs w:val="24"/>
        </w:rPr>
        <w:t>. Kairo: Dar al-Kutub al-Arabiyah, 1998.</w:t>
      </w:r>
    </w:p>
    <w:p w14:paraId="482B6EB9" w14:textId="77777777" w:rsidR="00C3578B" w:rsidRPr="00C3578B" w:rsidRDefault="00C3578B" w:rsidP="002C1B1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Palatino Linotype" w:hAnsi="Palatino Linotype" w:cs="Times New Roman"/>
          <w:noProof/>
          <w:sz w:val="24"/>
          <w:szCs w:val="24"/>
        </w:rPr>
      </w:pPr>
      <w:r w:rsidRPr="00C3578B">
        <w:rPr>
          <w:rFonts w:ascii="Palatino Linotype" w:hAnsi="Palatino Linotype" w:cs="Times New Roman"/>
          <w:noProof/>
          <w:sz w:val="24"/>
          <w:szCs w:val="24"/>
        </w:rPr>
        <w:t xml:space="preserve">Azra, Azyumardi. </w:t>
      </w:r>
      <w:r w:rsidRPr="00C3578B">
        <w:rPr>
          <w:rFonts w:ascii="Palatino Linotype" w:hAnsi="Palatino Linotype" w:cs="Times New Roman"/>
          <w:i/>
          <w:iCs/>
          <w:noProof/>
          <w:sz w:val="24"/>
          <w:szCs w:val="24"/>
        </w:rPr>
        <w:t>Pendidikan Multikultural: Membangun Kembali Indonesia Bhinneka Tunggal Ika</w:t>
      </w:r>
      <w:r w:rsidRPr="00C3578B">
        <w:rPr>
          <w:rFonts w:ascii="Palatino Linotype" w:hAnsi="Palatino Linotype" w:cs="Times New Roman"/>
          <w:noProof/>
          <w:sz w:val="24"/>
          <w:szCs w:val="24"/>
        </w:rPr>
        <w:t>. Jakarta: Republika, 2003.</w:t>
      </w:r>
    </w:p>
    <w:p w14:paraId="493E366E" w14:textId="77777777" w:rsidR="00C3578B" w:rsidRPr="00C3578B" w:rsidRDefault="00C3578B" w:rsidP="002C1B1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Palatino Linotype" w:hAnsi="Palatino Linotype" w:cs="Times New Roman"/>
          <w:noProof/>
          <w:sz w:val="24"/>
          <w:szCs w:val="24"/>
        </w:rPr>
      </w:pPr>
      <w:r w:rsidRPr="00C3578B">
        <w:rPr>
          <w:rFonts w:ascii="Palatino Linotype" w:hAnsi="Palatino Linotype" w:cs="Times New Roman"/>
          <w:noProof/>
          <w:sz w:val="24"/>
          <w:szCs w:val="24"/>
        </w:rPr>
        <w:t xml:space="preserve">Bailey, Kennet D. </w:t>
      </w:r>
      <w:r w:rsidRPr="00C3578B">
        <w:rPr>
          <w:rFonts w:ascii="Palatino Linotype" w:hAnsi="Palatino Linotype" w:cs="Times New Roman"/>
          <w:i/>
          <w:iCs/>
          <w:noProof/>
          <w:sz w:val="24"/>
          <w:szCs w:val="24"/>
        </w:rPr>
        <w:t>Methods of Social Research</w:t>
      </w:r>
      <w:r w:rsidRPr="00C3578B">
        <w:rPr>
          <w:rFonts w:ascii="Palatino Linotype" w:hAnsi="Palatino Linotype" w:cs="Times New Roman"/>
          <w:noProof/>
          <w:sz w:val="24"/>
          <w:szCs w:val="24"/>
        </w:rPr>
        <w:t>. New York: A Division of Macmillan Publishing Co. Inc, 1982.</w:t>
      </w:r>
    </w:p>
    <w:p w14:paraId="72BAF7B2" w14:textId="77777777" w:rsidR="00C3578B" w:rsidRPr="00C3578B" w:rsidRDefault="00C3578B" w:rsidP="002C1B1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Palatino Linotype" w:hAnsi="Palatino Linotype" w:cs="Times New Roman"/>
          <w:noProof/>
          <w:sz w:val="24"/>
          <w:szCs w:val="24"/>
        </w:rPr>
      </w:pPr>
      <w:r w:rsidRPr="00C3578B">
        <w:rPr>
          <w:rFonts w:ascii="Palatino Linotype" w:hAnsi="Palatino Linotype" w:cs="Times New Roman"/>
          <w:noProof/>
          <w:sz w:val="24"/>
          <w:szCs w:val="24"/>
        </w:rPr>
        <w:t xml:space="preserve">Bhasyar, Hamdan M. </w:t>
      </w:r>
      <w:r w:rsidRPr="00C3578B">
        <w:rPr>
          <w:rFonts w:ascii="Palatino Linotype" w:hAnsi="Palatino Linotype" w:cs="Times New Roman"/>
          <w:i/>
          <w:iCs/>
          <w:noProof/>
          <w:sz w:val="24"/>
          <w:szCs w:val="24"/>
        </w:rPr>
        <w:t>Identitas Minoritas Di Indonesia: Kasus Muslim Bali Di Gianyar Dan Tabanan</w:t>
      </w:r>
      <w:r w:rsidRPr="00C3578B">
        <w:rPr>
          <w:rFonts w:ascii="Palatino Linotype" w:hAnsi="Palatino Linotype" w:cs="Times New Roman"/>
          <w:noProof/>
          <w:sz w:val="24"/>
          <w:szCs w:val="24"/>
        </w:rPr>
        <w:t>. Jakarta: LIPI Press, 2010.</w:t>
      </w:r>
    </w:p>
    <w:p w14:paraId="09BD4A6C" w14:textId="77777777" w:rsidR="00C3578B" w:rsidRPr="00C3578B" w:rsidRDefault="00C3578B" w:rsidP="002C1B1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Palatino Linotype" w:hAnsi="Palatino Linotype" w:cs="Times New Roman"/>
          <w:noProof/>
          <w:sz w:val="24"/>
          <w:szCs w:val="24"/>
        </w:rPr>
      </w:pPr>
      <w:r w:rsidRPr="00C3578B">
        <w:rPr>
          <w:rFonts w:ascii="Palatino Linotype" w:hAnsi="Palatino Linotype" w:cs="Times New Roman"/>
          <w:noProof/>
          <w:sz w:val="24"/>
          <w:szCs w:val="24"/>
        </w:rPr>
        <w:t xml:space="preserve">Burhanuddin, Yudhis M. </w:t>
      </w:r>
      <w:r w:rsidRPr="00C3578B">
        <w:rPr>
          <w:rFonts w:ascii="Palatino Linotype" w:hAnsi="Palatino Linotype" w:cs="Times New Roman"/>
          <w:i/>
          <w:iCs/>
          <w:noProof/>
          <w:sz w:val="24"/>
          <w:szCs w:val="24"/>
        </w:rPr>
        <w:t>Bali Yang Hilang; Don’t Let Bali Alone Againt Terorism</w:t>
      </w:r>
      <w:r w:rsidRPr="00C3578B">
        <w:rPr>
          <w:rFonts w:ascii="Palatino Linotype" w:hAnsi="Palatino Linotype" w:cs="Times New Roman"/>
          <w:noProof/>
          <w:sz w:val="24"/>
          <w:szCs w:val="24"/>
        </w:rPr>
        <w:t>. Yogyakarta: Kanisius, 2012.</w:t>
      </w:r>
    </w:p>
    <w:p w14:paraId="3DDCD44C" w14:textId="77777777" w:rsidR="00C3578B" w:rsidRPr="00C3578B" w:rsidRDefault="00C3578B" w:rsidP="002C1B1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Palatino Linotype" w:hAnsi="Palatino Linotype" w:cs="Times New Roman"/>
          <w:noProof/>
          <w:sz w:val="24"/>
          <w:szCs w:val="24"/>
        </w:rPr>
      </w:pPr>
      <w:r w:rsidRPr="00C3578B">
        <w:rPr>
          <w:rFonts w:ascii="Palatino Linotype" w:hAnsi="Palatino Linotype" w:cs="Times New Roman"/>
          <w:noProof/>
          <w:sz w:val="24"/>
          <w:szCs w:val="24"/>
        </w:rPr>
        <w:t xml:space="preserve">Dharmayuda, I Made Suasthawa. </w:t>
      </w:r>
      <w:r w:rsidRPr="00C3578B">
        <w:rPr>
          <w:rFonts w:ascii="Palatino Linotype" w:hAnsi="Palatino Linotype" w:cs="Times New Roman"/>
          <w:i/>
          <w:iCs/>
          <w:noProof/>
          <w:sz w:val="24"/>
          <w:szCs w:val="24"/>
        </w:rPr>
        <w:t>Kebuayaan Bali: Pra Hindu, Masa Hindu, Dan Pasca Hindu</w:t>
      </w:r>
      <w:r w:rsidRPr="00C3578B">
        <w:rPr>
          <w:rFonts w:ascii="Palatino Linotype" w:hAnsi="Palatino Linotype" w:cs="Times New Roman"/>
          <w:noProof/>
          <w:sz w:val="24"/>
          <w:szCs w:val="24"/>
        </w:rPr>
        <w:t>. Denpasar: Kayumas Agung, 1995.</w:t>
      </w:r>
    </w:p>
    <w:p w14:paraId="5BC930E3" w14:textId="77777777" w:rsidR="00C3578B" w:rsidRPr="00C3578B" w:rsidRDefault="00C3578B" w:rsidP="002C1B1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Palatino Linotype" w:hAnsi="Palatino Linotype" w:cs="Times New Roman"/>
          <w:noProof/>
          <w:sz w:val="24"/>
          <w:szCs w:val="24"/>
        </w:rPr>
      </w:pPr>
      <w:r w:rsidRPr="00C3578B">
        <w:rPr>
          <w:rFonts w:ascii="Palatino Linotype" w:hAnsi="Palatino Linotype" w:cs="Times New Roman"/>
          <w:noProof/>
          <w:sz w:val="24"/>
          <w:szCs w:val="24"/>
        </w:rPr>
        <w:t xml:space="preserve">G, Lincon Yvonna S. Guba and Egon. </w:t>
      </w:r>
      <w:r w:rsidRPr="00C3578B">
        <w:rPr>
          <w:rFonts w:ascii="Palatino Linotype" w:hAnsi="Palatino Linotype" w:cs="Times New Roman"/>
          <w:i/>
          <w:iCs/>
          <w:noProof/>
          <w:sz w:val="24"/>
          <w:szCs w:val="24"/>
        </w:rPr>
        <w:t>Naturalistic Inquiry</w:t>
      </w:r>
      <w:r w:rsidRPr="00C3578B">
        <w:rPr>
          <w:rFonts w:ascii="Palatino Linotype" w:hAnsi="Palatino Linotype" w:cs="Times New Roman"/>
          <w:noProof/>
          <w:sz w:val="24"/>
          <w:szCs w:val="24"/>
        </w:rPr>
        <w:t>. Newbury Park: SAGE, 1985.</w:t>
      </w:r>
    </w:p>
    <w:p w14:paraId="50656708" w14:textId="77777777" w:rsidR="00C3578B" w:rsidRPr="00C3578B" w:rsidRDefault="00C3578B" w:rsidP="002C1B1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Palatino Linotype" w:hAnsi="Palatino Linotype" w:cs="Times New Roman"/>
          <w:noProof/>
          <w:sz w:val="24"/>
          <w:szCs w:val="24"/>
        </w:rPr>
      </w:pPr>
      <w:r w:rsidRPr="00C3578B">
        <w:rPr>
          <w:rFonts w:ascii="Palatino Linotype" w:hAnsi="Palatino Linotype" w:cs="Times New Roman"/>
          <w:noProof/>
          <w:sz w:val="24"/>
          <w:szCs w:val="24"/>
        </w:rPr>
        <w:t xml:space="preserve">Gellner, Ernest. </w:t>
      </w:r>
      <w:r w:rsidRPr="00C3578B">
        <w:rPr>
          <w:rFonts w:ascii="Palatino Linotype" w:hAnsi="Palatino Linotype" w:cs="Times New Roman"/>
          <w:i/>
          <w:iCs/>
          <w:noProof/>
          <w:sz w:val="24"/>
          <w:szCs w:val="24"/>
        </w:rPr>
        <w:t>Postmodernism, Reason, and Religion</w:t>
      </w:r>
      <w:r w:rsidRPr="00C3578B">
        <w:rPr>
          <w:rFonts w:ascii="Palatino Linotype" w:hAnsi="Palatino Linotype" w:cs="Times New Roman"/>
          <w:noProof/>
          <w:sz w:val="24"/>
          <w:szCs w:val="24"/>
        </w:rPr>
        <w:t>. London: Rouledge, 1992.</w:t>
      </w:r>
    </w:p>
    <w:sectPr w:rsidR="00C3578B" w:rsidRPr="00C3578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A33F5" w14:textId="77777777" w:rsidR="00330D54" w:rsidRDefault="00330D54" w:rsidP="00055AD7">
      <w:pPr>
        <w:spacing w:after="0" w:line="240" w:lineRule="auto"/>
      </w:pPr>
      <w:r>
        <w:separator/>
      </w:r>
    </w:p>
  </w:endnote>
  <w:endnote w:type="continuationSeparator" w:id="0">
    <w:p w14:paraId="07B2BFE9" w14:textId="77777777" w:rsidR="00330D54" w:rsidRDefault="00330D54" w:rsidP="0005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7260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6A9A86" w14:textId="77777777" w:rsidR="00055AD7" w:rsidRDefault="00055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8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B6D281" w14:textId="77777777" w:rsidR="00055AD7" w:rsidRDefault="00055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D6ED2" w14:textId="77777777" w:rsidR="00330D54" w:rsidRDefault="00330D54" w:rsidP="00055AD7">
      <w:pPr>
        <w:spacing w:after="0" w:line="240" w:lineRule="auto"/>
      </w:pPr>
      <w:r>
        <w:separator/>
      </w:r>
    </w:p>
  </w:footnote>
  <w:footnote w:type="continuationSeparator" w:id="0">
    <w:p w14:paraId="00EBE07D" w14:textId="77777777" w:rsidR="00330D54" w:rsidRDefault="00330D54" w:rsidP="00055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1NrEwMTUzN7QwMbZU0lEKTi0uzszPAykwrgUAVuHwlywAAAA="/>
  </w:docVars>
  <w:rsids>
    <w:rsidRoot w:val="000232F4"/>
    <w:rsid w:val="000232F4"/>
    <w:rsid w:val="00055AD7"/>
    <w:rsid w:val="000D3B4A"/>
    <w:rsid w:val="00162ACE"/>
    <w:rsid w:val="00167804"/>
    <w:rsid w:val="00295477"/>
    <w:rsid w:val="002C1B14"/>
    <w:rsid w:val="00330D54"/>
    <w:rsid w:val="003555B5"/>
    <w:rsid w:val="00397BA1"/>
    <w:rsid w:val="00432492"/>
    <w:rsid w:val="00611D0F"/>
    <w:rsid w:val="00762B28"/>
    <w:rsid w:val="00A67CB9"/>
    <w:rsid w:val="00AA6852"/>
    <w:rsid w:val="00BA145A"/>
    <w:rsid w:val="00C072E2"/>
    <w:rsid w:val="00C3578B"/>
    <w:rsid w:val="00C83DAD"/>
    <w:rsid w:val="00CB2D14"/>
    <w:rsid w:val="00F15135"/>
    <w:rsid w:val="00F4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362B"/>
  <w15:docId w15:val="{D18124EA-7D1A-48B3-90E6-37918CDE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AD7"/>
  </w:style>
  <w:style w:type="paragraph" w:styleId="Footer">
    <w:name w:val="footer"/>
    <w:basedOn w:val="Normal"/>
    <w:link w:val="FooterChar"/>
    <w:uiPriority w:val="99"/>
    <w:unhideWhenUsed/>
    <w:rsid w:val="00055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AD7"/>
  </w:style>
  <w:style w:type="paragraph" w:styleId="FootnoteText">
    <w:name w:val="footnote text"/>
    <w:basedOn w:val="Normal"/>
    <w:link w:val="FootnoteTextChar"/>
    <w:uiPriority w:val="99"/>
    <w:unhideWhenUsed/>
    <w:rsid w:val="00C3578B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578B"/>
    <w:rPr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C35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Agus Mailana</cp:lastModifiedBy>
  <cp:revision>2</cp:revision>
  <dcterms:created xsi:type="dcterms:W3CDTF">2020-01-11T03:16:00Z</dcterms:created>
  <dcterms:modified xsi:type="dcterms:W3CDTF">2020-01-11T03:16:00Z</dcterms:modified>
</cp:coreProperties>
</file>